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3BE1E1" w14:textId="7E4BDE78" w:rsidR="00B048E8" w:rsidRPr="00317F6B" w:rsidRDefault="0073796C" w:rsidP="00EB3277">
      <w:pPr>
        <w:spacing w:after="0" w:line="240" w:lineRule="auto"/>
        <w:jc w:val="center"/>
        <w:rPr>
          <w:b/>
          <w:sz w:val="36"/>
          <w:szCs w:val="36"/>
        </w:rPr>
      </w:pPr>
      <w:r>
        <w:rPr>
          <w:b/>
          <w:sz w:val="36"/>
          <w:szCs w:val="36"/>
        </w:rPr>
        <w:t>Mayor’s</w:t>
      </w:r>
      <w:r w:rsidR="00EB3277" w:rsidRPr="00317F6B">
        <w:rPr>
          <w:b/>
          <w:sz w:val="36"/>
          <w:szCs w:val="36"/>
        </w:rPr>
        <w:t xml:space="preserve"> </w:t>
      </w:r>
      <w:r>
        <w:rPr>
          <w:b/>
          <w:sz w:val="36"/>
          <w:szCs w:val="36"/>
        </w:rPr>
        <w:t xml:space="preserve">Office of Homeland Security &amp; Emergency </w:t>
      </w:r>
      <w:bookmarkStart w:id="0" w:name="_GoBack"/>
      <w:bookmarkEnd w:id="0"/>
      <w:r>
        <w:rPr>
          <w:b/>
          <w:sz w:val="36"/>
          <w:szCs w:val="36"/>
        </w:rPr>
        <w:t>Preparedness</w:t>
      </w:r>
      <w:r w:rsidR="00EF79C6">
        <w:rPr>
          <w:b/>
          <w:sz w:val="36"/>
          <w:szCs w:val="36"/>
        </w:rPr>
        <w:t xml:space="preserve"> </w:t>
      </w:r>
    </w:p>
    <w:p w14:paraId="5E556415" w14:textId="77777777" w:rsidR="00EB3277" w:rsidRPr="00317F6B" w:rsidRDefault="00EB3277" w:rsidP="00EB3277">
      <w:pPr>
        <w:spacing w:after="0" w:line="240" w:lineRule="auto"/>
        <w:jc w:val="center"/>
        <w:rPr>
          <w:b/>
          <w:sz w:val="36"/>
          <w:szCs w:val="36"/>
        </w:rPr>
      </w:pPr>
      <w:r w:rsidRPr="00317F6B">
        <w:rPr>
          <w:b/>
          <w:sz w:val="36"/>
          <w:szCs w:val="36"/>
        </w:rPr>
        <w:t>Regulations</w:t>
      </w:r>
      <w:r w:rsidR="009A346B">
        <w:rPr>
          <w:b/>
          <w:sz w:val="36"/>
          <w:szCs w:val="36"/>
        </w:rPr>
        <w:t xml:space="preserve"> Governing</w:t>
      </w:r>
    </w:p>
    <w:p w14:paraId="0CED5053" w14:textId="1C50C792" w:rsidR="00163741" w:rsidRDefault="004A6E09" w:rsidP="00EB3277">
      <w:pPr>
        <w:spacing w:after="0" w:line="240" w:lineRule="auto"/>
        <w:jc w:val="center"/>
        <w:rPr>
          <w:b/>
          <w:sz w:val="36"/>
          <w:szCs w:val="36"/>
        </w:rPr>
      </w:pPr>
      <w:r>
        <w:rPr>
          <w:b/>
          <w:sz w:val="36"/>
          <w:szCs w:val="36"/>
        </w:rPr>
        <w:t>Nursing Home Emergency Preparedness</w:t>
      </w:r>
    </w:p>
    <w:p w14:paraId="072F39B3" w14:textId="77777777" w:rsidR="00B57DF2" w:rsidRDefault="00B57DF2" w:rsidP="00EB3277">
      <w:pPr>
        <w:spacing w:after="0" w:line="240" w:lineRule="auto"/>
        <w:jc w:val="center"/>
        <w:rPr>
          <w:b/>
          <w:sz w:val="36"/>
          <w:szCs w:val="36"/>
        </w:rPr>
      </w:pPr>
    </w:p>
    <w:p w14:paraId="39C54EAF" w14:textId="2A1B05B6" w:rsidR="00E71DA4" w:rsidRDefault="00E71DA4" w:rsidP="00E71DA4">
      <w:pPr>
        <w:spacing w:after="0" w:line="480" w:lineRule="auto"/>
        <w:jc w:val="both"/>
        <w:rPr>
          <w:sz w:val="28"/>
          <w:szCs w:val="28"/>
        </w:rPr>
      </w:pPr>
      <w:r w:rsidRPr="0025439A">
        <w:rPr>
          <w:b/>
          <w:sz w:val="28"/>
          <w:szCs w:val="28"/>
        </w:rPr>
        <w:t>I.</w:t>
      </w:r>
      <w:r>
        <w:rPr>
          <w:sz w:val="28"/>
          <w:szCs w:val="28"/>
        </w:rPr>
        <w:tab/>
      </w:r>
      <w:r w:rsidR="00D42551">
        <w:rPr>
          <w:b/>
          <w:sz w:val="28"/>
          <w:szCs w:val="28"/>
        </w:rPr>
        <w:t>Authority</w:t>
      </w:r>
      <w:r>
        <w:rPr>
          <w:sz w:val="28"/>
          <w:szCs w:val="28"/>
        </w:rPr>
        <w:t>. Pursuant to Section 4-107(3) of the Home Rule Charter of the City of New Orleans, Section 2-1000 of the City Code</w:t>
      </w:r>
      <w:r w:rsidR="000A7A3F">
        <w:rPr>
          <w:sz w:val="28"/>
          <w:szCs w:val="28"/>
        </w:rPr>
        <w:t>,</w:t>
      </w:r>
      <w:r>
        <w:rPr>
          <w:sz w:val="28"/>
          <w:szCs w:val="28"/>
        </w:rPr>
        <w:t xml:space="preserve"> Section </w:t>
      </w:r>
      <w:r w:rsidR="0073796C">
        <w:rPr>
          <w:sz w:val="28"/>
          <w:szCs w:val="28"/>
        </w:rPr>
        <w:t>30-1088</w:t>
      </w:r>
      <w:r>
        <w:rPr>
          <w:sz w:val="28"/>
          <w:szCs w:val="28"/>
        </w:rPr>
        <w:t xml:space="preserve"> of the City Code</w:t>
      </w:r>
      <w:r w:rsidR="00163741">
        <w:rPr>
          <w:sz w:val="28"/>
          <w:szCs w:val="28"/>
        </w:rPr>
        <w:t>,</w:t>
      </w:r>
      <w:r>
        <w:rPr>
          <w:sz w:val="28"/>
          <w:szCs w:val="28"/>
        </w:rPr>
        <w:t xml:space="preserve"> </w:t>
      </w:r>
      <w:r w:rsidR="000A7A3F">
        <w:rPr>
          <w:sz w:val="28"/>
          <w:szCs w:val="28"/>
        </w:rPr>
        <w:t xml:space="preserve"> </w:t>
      </w:r>
      <w:r>
        <w:rPr>
          <w:sz w:val="28"/>
          <w:szCs w:val="28"/>
        </w:rPr>
        <w:t xml:space="preserve">the </w:t>
      </w:r>
      <w:r w:rsidR="0073796C">
        <w:rPr>
          <w:sz w:val="28"/>
          <w:szCs w:val="28"/>
        </w:rPr>
        <w:t>Mayor’s Office of Homeland Security and Emergency Preparedness</w:t>
      </w:r>
      <w:r>
        <w:rPr>
          <w:sz w:val="28"/>
          <w:szCs w:val="28"/>
        </w:rPr>
        <w:t xml:space="preserve"> of </w:t>
      </w:r>
      <w:r w:rsidR="00163741">
        <w:rPr>
          <w:sz w:val="28"/>
          <w:szCs w:val="28"/>
        </w:rPr>
        <w:t>the City of New Orleans proposes</w:t>
      </w:r>
      <w:r>
        <w:rPr>
          <w:sz w:val="28"/>
          <w:szCs w:val="28"/>
        </w:rPr>
        <w:t xml:space="preserve"> the following regulations relative to</w:t>
      </w:r>
      <w:r w:rsidR="00D42551">
        <w:rPr>
          <w:sz w:val="28"/>
          <w:szCs w:val="28"/>
        </w:rPr>
        <w:t xml:space="preserve"> </w:t>
      </w:r>
      <w:r w:rsidR="0073796C">
        <w:rPr>
          <w:sz w:val="28"/>
          <w:szCs w:val="28"/>
        </w:rPr>
        <w:t>nursing home emergency preparedness</w:t>
      </w:r>
      <w:r w:rsidR="00163741">
        <w:rPr>
          <w:sz w:val="28"/>
          <w:szCs w:val="28"/>
        </w:rPr>
        <w:t>,</w:t>
      </w:r>
      <w:r>
        <w:rPr>
          <w:sz w:val="28"/>
          <w:szCs w:val="28"/>
        </w:rPr>
        <w:t xml:space="preserve"> including but not limited to regulations on </w:t>
      </w:r>
      <w:r w:rsidR="0073796C">
        <w:rPr>
          <w:sz w:val="28"/>
          <w:szCs w:val="28"/>
        </w:rPr>
        <w:t>the submission of emergency operation plans and emergency communications between nursing homes and the Mayor’s Office of Homeland Security and Emergency Preparedness</w:t>
      </w:r>
      <w:r>
        <w:rPr>
          <w:sz w:val="28"/>
          <w:szCs w:val="28"/>
        </w:rPr>
        <w:t>.</w:t>
      </w:r>
    </w:p>
    <w:p w14:paraId="6168746D" w14:textId="7A32425A" w:rsidR="00E71DA4" w:rsidRDefault="00E71DA4" w:rsidP="00E71DA4">
      <w:pPr>
        <w:spacing w:after="0" w:line="480" w:lineRule="auto"/>
        <w:jc w:val="both"/>
        <w:rPr>
          <w:sz w:val="28"/>
          <w:szCs w:val="28"/>
        </w:rPr>
      </w:pPr>
      <w:r w:rsidRPr="0025439A">
        <w:rPr>
          <w:b/>
          <w:sz w:val="28"/>
          <w:szCs w:val="28"/>
        </w:rPr>
        <w:t>II.</w:t>
      </w:r>
      <w:r>
        <w:rPr>
          <w:sz w:val="28"/>
          <w:szCs w:val="28"/>
        </w:rPr>
        <w:tab/>
      </w:r>
      <w:r w:rsidRPr="00944C81">
        <w:rPr>
          <w:b/>
          <w:sz w:val="28"/>
          <w:szCs w:val="28"/>
        </w:rPr>
        <w:t>Applicability</w:t>
      </w:r>
      <w:r>
        <w:rPr>
          <w:sz w:val="28"/>
          <w:szCs w:val="28"/>
        </w:rPr>
        <w:t>.  These regulations shall</w:t>
      </w:r>
      <w:r w:rsidR="0025439A">
        <w:rPr>
          <w:sz w:val="28"/>
          <w:szCs w:val="28"/>
        </w:rPr>
        <w:t xml:space="preserve"> apply </w:t>
      </w:r>
      <w:r w:rsidR="0073796C">
        <w:rPr>
          <w:sz w:val="28"/>
          <w:szCs w:val="28"/>
        </w:rPr>
        <w:t xml:space="preserve">to all nursing homes regulated by Article XIII of Chapter 30 of the City Code. </w:t>
      </w:r>
    </w:p>
    <w:p w14:paraId="21DE47DE" w14:textId="6D88F9AA" w:rsidR="00AE2E11" w:rsidRPr="006E199E" w:rsidRDefault="004A6E09" w:rsidP="007C7B59">
      <w:pPr>
        <w:spacing w:after="0" w:line="480" w:lineRule="auto"/>
        <w:jc w:val="both"/>
        <w:rPr>
          <w:sz w:val="28"/>
          <w:szCs w:val="28"/>
        </w:rPr>
      </w:pPr>
      <w:r>
        <w:rPr>
          <w:b/>
          <w:sz w:val="28"/>
          <w:szCs w:val="28"/>
        </w:rPr>
        <w:t>III</w:t>
      </w:r>
      <w:r w:rsidR="00AE2E11">
        <w:rPr>
          <w:b/>
          <w:sz w:val="28"/>
          <w:szCs w:val="28"/>
        </w:rPr>
        <w:t xml:space="preserve">. </w:t>
      </w:r>
      <w:r w:rsidR="00AE2E11">
        <w:rPr>
          <w:b/>
          <w:sz w:val="28"/>
          <w:szCs w:val="28"/>
        </w:rPr>
        <w:tab/>
        <w:t>Emergency Operation Plans.</w:t>
      </w:r>
      <w:r w:rsidR="006E199E">
        <w:rPr>
          <w:b/>
          <w:sz w:val="28"/>
          <w:szCs w:val="28"/>
        </w:rPr>
        <w:t xml:space="preserve"> </w:t>
      </w:r>
      <w:r w:rsidR="006E199E" w:rsidRPr="006E199E">
        <w:rPr>
          <w:sz w:val="28"/>
          <w:szCs w:val="28"/>
        </w:rPr>
        <w:t xml:space="preserve">Pursuant to Section 30-1088 of the City Code, nursing homes must submit emergency operation plans to the Mayor’s Office of Homeland Security and Emergency Preparedness by March 1. Plans must include a full all hazards plan that is compliant with the Centers for Medicaid and Medicare </w:t>
      </w:r>
      <w:r w:rsidR="006E199E" w:rsidRPr="006E199E">
        <w:rPr>
          <w:sz w:val="28"/>
          <w:szCs w:val="28"/>
        </w:rPr>
        <w:lastRenderedPageBreak/>
        <w:t xml:space="preserve">Service Emergency Rule and the Louisiana Department of Health </w:t>
      </w:r>
      <w:r w:rsidR="006E199E">
        <w:rPr>
          <w:sz w:val="28"/>
          <w:szCs w:val="28"/>
        </w:rPr>
        <w:t xml:space="preserve">nursing home annual </w:t>
      </w:r>
      <w:r w:rsidR="006E199E" w:rsidRPr="006E199E">
        <w:rPr>
          <w:sz w:val="28"/>
          <w:szCs w:val="28"/>
        </w:rPr>
        <w:t xml:space="preserve">survey.  </w:t>
      </w:r>
      <w:r w:rsidR="006E199E">
        <w:rPr>
          <w:sz w:val="28"/>
          <w:szCs w:val="28"/>
        </w:rPr>
        <w:t xml:space="preserve">The all hazards plan must include response to tropical weather, no-notice flooding, and any other threat deemed required by a hazard vulnerability assessment.  The Mayor’s Office of Homeland Security and Emergency Preparedness and New Orleans Health Department will provide hazard vulnerability assessment data at the annual nursing home preparedness meeting that can be used for the following year’s plan. </w:t>
      </w:r>
      <w:r w:rsidR="006E199E" w:rsidRPr="006E199E">
        <w:rPr>
          <w:sz w:val="28"/>
          <w:szCs w:val="28"/>
        </w:rPr>
        <w:t xml:space="preserve">Plans may be submitted via email to </w:t>
      </w:r>
      <w:hyperlink r:id="rId7" w:history="1">
        <w:r w:rsidR="00EF79C6" w:rsidRPr="00980E6A">
          <w:rPr>
            <w:rStyle w:val="Hyperlink"/>
            <w:sz w:val="28"/>
            <w:szCs w:val="28"/>
          </w:rPr>
          <w:t>plnsec@nola.gov</w:t>
        </w:r>
      </w:hyperlink>
      <w:r w:rsidR="006E199E" w:rsidRPr="006E199E">
        <w:rPr>
          <w:sz w:val="28"/>
          <w:szCs w:val="28"/>
        </w:rPr>
        <w:t xml:space="preserve"> or a printed copy can be submitted to the Mayor’s Office of Homeland Security and Emergency Preparedness. </w:t>
      </w:r>
    </w:p>
    <w:p w14:paraId="45E9E979" w14:textId="778BC72E" w:rsidR="006E199E" w:rsidRDefault="004A6E09" w:rsidP="007C7B59">
      <w:pPr>
        <w:spacing w:after="0" w:line="480" w:lineRule="auto"/>
        <w:jc w:val="both"/>
        <w:rPr>
          <w:b/>
          <w:sz w:val="28"/>
          <w:szCs w:val="28"/>
        </w:rPr>
      </w:pPr>
      <w:r>
        <w:rPr>
          <w:b/>
          <w:sz w:val="28"/>
          <w:szCs w:val="28"/>
        </w:rPr>
        <w:t>IV.</w:t>
      </w:r>
      <w:r w:rsidR="00AE2E11">
        <w:rPr>
          <w:b/>
          <w:sz w:val="28"/>
          <w:szCs w:val="28"/>
        </w:rPr>
        <w:t xml:space="preserve"> </w:t>
      </w:r>
      <w:r w:rsidR="00AE2E11">
        <w:rPr>
          <w:b/>
          <w:sz w:val="28"/>
          <w:szCs w:val="28"/>
        </w:rPr>
        <w:tab/>
        <w:t xml:space="preserve">Emergency Communications. </w:t>
      </w:r>
    </w:p>
    <w:p w14:paraId="6777CDD6" w14:textId="3ADEEC1D" w:rsidR="00AE2E11" w:rsidRDefault="006E199E" w:rsidP="006E199E">
      <w:pPr>
        <w:pStyle w:val="ListParagraph"/>
        <w:numPr>
          <w:ilvl w:val="0"/>
          <w:numId w:val="1"/>
        </w:numPr>
        <w:spacing w:after="0" w:line="480" w:lineRule="auto"/>
        <w:jc w:val="both"/>
        <w:rPr>
          <w:sz w:val="28"/>
          <w:szCs w:val="28"/>
        </w:rPr>
      </w:pPr>
      <w:r>
        <w:rPr>
          <w:sz w:val="28"/>
          <w:szCs w:val="28"/>
        </w:rPr>
        <w:t>Pursuant to Section 30-1088(3) of the City Code, d</w:t>
      </w:r>
      <w:r w:rsidR="00AE2E11" w:rsidRPr="006E199E">
        <w:rPr>
          <w:sz w:val="28"/>
          <w:szCs w:val="28"/>
        </w:rPr>
        <w:t>uring all declared emergencies or disasters nursing homes must provide situational updates every 24 hours to the Mayor’s Office of Homeland Security and Emergency Preparedness, or authorized designee.  This may be done by email, phone or using the Louisiana Department of Health MSTAT</w:t>
      </w:r>
      <w:r w:rsidR="00EF79C6">
        <w:rPr>
          <w:sz w:val="28"/>
          <w:szCs w:val="28"/>
        </w:rPr>
        <w:t xml:space="preserve"> or subsequent</w:t>
      </w:r>
      <w:r w:rsidR="00AE2E11" w:rsidRPr="006E199E">
        <w:rPr>
          <w:sz w:val="28"/>
          <w:szCs w:val="28"/>
        </w:rPr>
        <w:t xml:space="preserve"> program.  If a nursing home is unable to access the MSTAT program, situational updates must be provided via phone. </w:t>
      </w:r>
      <w:r w:rsidRPr="006E199E">
        <w:rPr>
          <w:sz w:val="28"/>
          <w:szCs w:val="28"/>
        </w:rPr>
        <w:t xml:space="preserve">If a nursing home has immediate needs from </w:t>
      </w:r>
      <w:r w:rsidRPr="006E199E">
        <w:rPr>
          <w:sz w:val="28"/>
          <w:szCs w:val="28"/>
        </w:rPr>
        <w:lastRenderedPageBreak/>
        <w:t xml:space="preserve">the City of New Orleans, that information must be communicated by phone if possible. </w:t>
      </w:r>
    </w:p>
    <w:p w14:paraId="68FB3B55" w14:textId="54A29D58" w:rsidR="006E199E" w:rsidRPr="006E199E" w:rsidRDefault="006E199E" w:rsidP="006E199E">
      <w:pPr>
        <w:pStyle w:val="ListParagraph"/>
        <w:numPr>
          <w:ilvl w:val="0"/>
          <w:numId w:val="1"/>
        </w:numPr>
        <w:spacing w:after="0" w:line="480" w:lineRule="auto"/>
        <w:jc w:val="both"/>
        <w:rPr>
          <w:sz w:val="28"/>
          <w:szCs w:val="28"/>
        </w:rPr>
      </w:pPr>
      <w:r>
        <w:rPr>
          <w:sz w:val="28"/>
          <w:szCs w:val="28"/>
        </w:rPr>
        <w:t xml:space="preserve">Pursuant to Section 30-1088(3a) of the City Code, all nursing homes shall provide immediate notification by email or phone to the Mayor’s Office of Homeland Security and Emergency Preparedness, or authorized representative, if the facility evacuates, temporarily relocated, or temporarily ceases operation. </w:t>
      </w:r>
    </w:p>
    <w:p w14:paraId="4048BABF" w14:textId="48651709" w:rsidR="00E71DA4" w:rsidRDefault="00024245" w:rsidP="00CF069E">
      <w:pPr>
        <w:spacing w:after="0" w:line="480" w:lineRule="auto"/>
        <w:jc w:val="both"/>
        <w:rPr>
          <w:b/>
          <w:sz w:val="28"/>
          <w:szCs w:val="28"/>
        </w:rPr>
      </w:pPr>
      <w:r w:rsidRPr="00024245">
        <w:rPr>
          <w:b/>
          <w:sz w:val="28"/>
          <w:szCs w:val="28"/>
        </w:rPr>
        <w:t>V.</w:t>
      </w:r>
      <w:r w:rsidRPr="00024245">
        <w:rPr>
          <w:b/>
          <w:sz w:val="28"/>
          <w:szCs w:val="28"/>
        </w:rPr>
        <w:tab/>
      </w:r>
      <w:r w:rsidR="0073796C">
        <w:rPr>
          <w:b/>
          <w:sz w:val="28"/>
          <w:szCs w:val="28"/>
        </w:rPr>
        <w:t xml:space="preserve">Effective Date. </w:t>
      </w:r>
      <w:r w:rsidR="0073796C" w:rsidRPr="0073796C">
        <w:rPr>
          <w:sz w:val="28"/>
          <w:szCs w:val="28"/>
        </w:rPr>
        <w:t>These regulations shall be effective on the 22</w:t>
      </w:r>
      <w:r w:rsidR="0073796C" w:rsidRPr="0073796C">
        <w:rPr>
          <w:sz w:val="28"/>
          <w:szCs w:val="28"/>
          <w:vertAlign w:val="superscript"/>
        </w:rPr>
        <w:t>nd</w:t>
      </w:r>
      <w:r w:rsidR="0073796C" w:rsidRPr="0073796C">
        <w:rPr>
          <w:sz w:val="28"/>
          <w:szCs w:val="28"/>
        </w:rPr>
        <w:t xml:space="preserve"> day following adoption by the New Orleans City Council, as required by Section 2-1000(g) of the City Code.</w:t>
      </w:r>
      <w:r w:rsidR="0073796C">
        <w:rPr>
          <w:b/>
          <w:sz w:val="28"/>
          <w:szCs w:val="28"/>
        </w:rPr>
        <w:t xml:space="preserve"> </w:t>
      </w:r>
    </w:p>
    <w:p w14:paraId="74FA5B49" w14:textId="1191C119" w:rsidR="0073796C" w:rsidRPr="00024245" w:rsidRDefault="0073796C" w:rsidP="00CF069E">
      <w:pPr>
        <w:spacing w:after="0" w:line="480" w:lineRule="auto"/>
        <w:jc w:val="both"/>
        <w:rPr>
          <w:b/>
          <w:sz w:val="28"/>
          <w:szCs w:val="28"/>
        </w:rPr>
      </w:pPr>
      <w:r>
        <w:rPr>
          <w:b/>
          <w:sz w:val="28"/>
          <w:szCs w:val="28"/>
        </w:rPr>
        <w:tab/>
      </w:r>
    </w:p>
    <w:p w14:paraId="11D05E83" w14:textId="66F0B87D" w:rsidR="00E71DA4" w:rsidRDefault="00E71DA4" w:rsidP="0073796C">
      <w:pPr>
        <w:spacing w:after="0" w:line="480" w:lineRule="auto"/>
        <w:ind w:left="720" w:hanging="720"/>
        <w:jc w:val="both"/>
        <w:rPr>
          <w:sz w:val="28"/>
          <w:szCs w:val="28"/>
        </w:rPr>
      </w:pPr>
    </w:p>
    <w:p w14:paraId="1AA52656" w14:textId="77777777" w:rsidR="0073796C" w:rsidRPr="00EB3277" w:rsidRDefault="0073796C" w:rsidP="00B7378C">
      <w:pPr>
        <w:spacing w:after="0" w:line="480" w:lineRule="auto"/>
        <w:ind w:left="720" w:hanging="720"/>
        <w:jc w:val="both"/>
        <w:rPr>
          <w:sz w:val="28"/>
          <w:szCs w:val="28"/>
        </w:rPr>
      </w:pPr>
    </w:p>
    <w:sectPr w:rsidR="0073796C" w:rsidRPr="00EB3277">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925BE" w14:textId="77777777" w:rsidR="005179F3" w:rsidRDefault="005179F3" w:rsidP="00B7378C">
      <w:pPr>
        <w:spacing w:after="0" w:line="240" w:lineRule="auto"/>
      </w:pPr>
      <w:r>
        <w:separator/>
      </w:r>
    </w:p>
  </w:endnote>
  <w:endnote w:type="continuationSeparator" w:id="0">
    <w:p w14:paraId="208C11C0" w14:textId="77777777" w:rsidR="005179F3" w:rsidRDefault="005179F3" w:rsidP="00B73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2555763"/>
      <w:docPartObj>
        <w:docPartGallery w:val="Page Numbers (Bottom of Page)"/>
        <w:docPartUnique/>
      </w:docPartObj>
    </w:sdtPr>
    <w:sdtEndPr>
      <w:rPr>
        <w:noProof/>
      </w:rPr>
    </w:sdtEndPr>
    <w:sdtContent>
      <w:p w14:paraId="5A205D31" w14:textId="77777777" w:rsidR="0066469B" w:rsidRDefault="0066469B">
        <w:pPr>
          <w:pStyle w:val="Footer"/>
          <w:jc w:val="center"/>
        </w:pPr>
      </w:p>
      <w:p w14:paraId="26A412E2" w14:textId="77777777" w:rsidR="0066469B" w:rsidRDefault="0066469B">
        <w:pPr>
          <w:pStyle w:val="Footer"/>
          <w:jc w:val="center"/>
        </w:pPr>
      </w:p>
      <w:p w14:paraId="7F751D72" w14:textId="77777777" w:rsidR="0066469B" w:rsidRDefault="0066469B">
        <w:pPr>
          <w:pStyle w:val="Footer"/>
          <w:jc w:val="center"/>
        </w:pPr>
      </w:p>
      <w:p w14:paraId="4AF7AB34" w14:textId="77777777" w:rsidR="0066469B" w:rsidRDefault="0066469B">
        <w:pPr>
          <w:pStyle w:val="Footer"/>
          <w:jc w:val="center"/>
        </w:pPr>
      </w:p>
      <w:p w14:paraId="1A6FCF6C" w14:textId="77777777" w:rsidR="0066469B" w:rsidRDefault="00D42551">
        <w:pPr>
          <w:pStyle w:val="Footer"/>
          <w:jc w:val="center"/>
          <w:rPr>
            <w:noProof/>
          </w:rPr>
        </w:pPr>
        <w:r>
          <w:fldChar w:fldCharType="begin"/>
        </w:r>
        <w:r>
          <w:instrText xml:space="preserve"> PAGE   \* MERGEFORMAT </w:instrText>
        </w:r>
        <w:r>
          <w:fldChar w:fldCharType="separate"/>
        </w:r>
        <w:r w:rsidR="00873560">
          <w:rPr>
            <w:noProof/>
          </w:rPr>
          <w:t>1</w:t>
        </w:r>
        <w:r>
          <w:rPr>
            <w:noProof/>
          </w:rPr>
          <w:fldChar w:fldCharType="end"/>
        </w:r>
      </w:p>
      <w:p w14:paraId="4E751A6E" w14:textId="77777777" w:rsidR="00D42551" w:rsidRDefault="005179F3">
        <w:pPr>
          <w:pStyle w:val="Footer"/>
          <w:jc w:val="center"/>
        </w:pPr>
      </w:p>
    </w:sdtContent>
  </w:sdt>
  <w:p w14:paraId="7D83D0A3" w14:textId="77777777" w:rsidR="00D42551" w:rsidRDefault="00D425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70247" w14:textId="77777777" w:rsidR="005179F3" w:rsidRDefault="005179F3" w:rsidP="00B7378C">
      <w:pPr>
        <w:spacing w:after="0" w:line="240" w:lineRule="auto"/>
      </w:pPr>
      <w:r>
        <w:separator/>
      </w:r>
    </w:p>
  </w:footnote>
  <w:footnote w:type="continuationSeparator" w:id="0">
    <w:p w14:paraId="5DE339CD" w14:textId="77777777" w:rsidR="005179F3" w:rsidRDefault="005179F3" w:rsidP="00B737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08908" w14:textId="77777777" w:rsidR="005D06B4" w:rsidRDefault="005179F3">
    <w:pPr>
      <w:pStyle w:val="Header"/>
    </w:pPr>
    <w:r>
      <w:rPr>
        <w:noProof/>
      </w:rPr>
      <w:pict w14:anchorId="108F50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16128" o:spid="_x0000_s2050" type="#_x0000_t136" style="position:absolute;margin-left:0;margin-top:0;width:412.4pt;height:247.45pt;rotation:315;z-index:-251655168;mso-position-horizontal:center;mso-position-horizontal-relative:margin;mso-position-vertical:center;mso-position-vertical-relative:margin" o:allowincell="f" fillcolor="#a5a5a5 [2092]"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D112" w14:textId="38010DA2" w:rsidR="0066469B" w:rsidRDefault="001543FB" w:rsidP="00B7378C">
    <w:pPr>
      <w:pStyle w:val="Header"/>
      <w:jc w:val="right"/>
      <w:rPr>
        <w:sz w:val="16"/>
        <w:szCs w:val="16"/>
      </w:rPr>
    </w:pPr>
    <w:r>
      <w:rPr>
        <w:sz w:val="16"/>
        <w:szCs w:val="16"/>
      </w:rPr>
      <w:t>Final</w:t>
    </w:r>
  </w:p>
  <w:p w14:paraId="51DA4F54" w14:textId="77777777" w:rsidR="00FD0568" w:rsidRDefault="00FD0568" w:rsidP="00B7378C">
    <w:pPr>
      <w:pStyle w:val="Header"/>
      <w:jc w:val="right"/>
      <w:rPr>
        <w:sz w:val="16"/>
        <w:szCs w:val="16"/>
      </w:rPr>
    </w:pPr>
  </w:p>
  <w:p w14:paraId="405270E9" w14:textId="77777777" w:rsidR="0066469B" w:rsidRDefault="0066469B" w:rsidP="00B7378C">
    <w:pPr>
      <w:pStyle w:val="Header"/>
      <w:jc w:val="right"/>
      <w:rPr>
        <w:sz w:val="16"/>
        <w:szCs w:val="16"/>
      </w:rPr>
    </w:pPr>
  </w:p>
  <w:p w14:paraId="35C27E86" w14:textId="77777777" w:rsidR="0066469B" w:rsidRDefault="0066469B" w:rsidP="00B7378C">
    <w:pPr>
      <w:pStyle w:val="Header"/>
      <w:jc w:val="right"/>
      <w:rPr>
        <w:sz w:val="16"/>
        <w:szCs w:val="16"/>
      </w:rPr>
    </w:pPr>
  </w:p>
  <w:p w14:paraId="017CB965" w14:textId="77777777" w:rsidR="0066469B" w:rsidRPr="00B7378C" w:rsidRDefault="0066469B" w:rsidP="00B7378C">
    <w:pPr>
      <w:pStyle w:val="Header"/>
      <w:jc w:val="right"/>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694EF" w14:textId="77777777" w:rsidR="005D06B4" w:rsidRDefault="005179F3">
    <w:pPr>
      <w:pStyle w:val="Header"/>
    </w:pPr>
    <w:r>
      <w:rPr>
        <w:noProof/>
      </w:rPr>
      <w:pict w14:anchorId="6519AD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16127" o:spid="_x0000_s2049" type="#_x0000_t136" style="position:absolute;margin-left:0;margin-top:0;width:412.4pt;height:247.45pt;rotation:315;z-index:-251657216;mso-position-horizontal:center;mso-position-horizontal-relative:margin;mso-position-vertical:center;mso-position-vertical-relative:margin" o:allowincell="f" fillcolor="#a5a5a5 [2092]"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A628EF"/>
    <w:multiLevelType w:val="hybridMultilevel"/>
    <w:tmpl w:val="9E8CF560"/>
    <w:lvl w:ilvl="0" w:tplc="2B8C0E1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277"/>
    <w:rsid w:val="00024245"/>
    <w:rsid w:val="00033F18"/>
    <w:rsid w:val="00040B47"/>
    <w:rsid w:val="00050390"/>
    <w:rsid w:val="00056C7E"/>
    <w:rsid w:val="0009540B"/>
    <w:rsid w:val="000A7A3F"/>
    <w:rsid w:val="000E432E"/>
    <w:rsid w:val="00100A50"/>
    <w:rsid w:val="00124E52"/>
    <w:rsid w:val="00130BBF"/>
    <w:rsid w:val="00137461"/>
    <w:rsid w:val="001543FB"/>
    <w:rsid w:val="00163741"/>
    <w:rsid w:val="002055EB"/>
    <w:rsid w:val="0025439A"/>
    <w:rsid w:val="002626D6"/>
    <w:rsid w:val="00266D88"/>
    <w:rsid w:val="00317F6B"/>
    <w:rsid w:val="003977AD"/>
    <w:rsid w:val="003F3F67"/>
    <w:rsid w:val="003F7A0C"/>
    <w:rsid w:val="004167BC"/>
    <w:rsid w:val="004514A4"/>
    <w:rsid w:val="00465240"/>
    <w:rsid w:val="004A5636"/>
    <w:rsid w:val="004A6E09"/>
    <w:rsid w:val="004D66B7"/>
    <w:rsid w:val="005179F3"/>
    <w:rsid w:val="00517CE5"/>
    <w:rsid w:val="00527D14"/>
    <w:rsid w:val="00540993"/>
    <w:rsid w:val="00550BC2"/>
    <w:rsid w:val="00561BE7"/>
    <w:rsid w:val="005648C4"/>
    <w:rsid w:val="0056529D"/>
    <w:rsid w:val="005800FB"/>
    <w:rsid w:val="005A00B3"/>
    <w:rsid w:val="005D06B4"/>
    <w:rsid w:val="005D4AF9"/>
    <w:rsid w:val="005D5D0F"/>
    <w:rsid w:val="005F3DC0"/>
    <w:rsid w:val="00603231"/>
    <w:rsid w:val="00612797"/>
    <w:rsid w:val="00635AC0"/>
    <w:rsid w:val="006370C0"/>
    <w:rsid w:val="00641FAD"/>
    <w:rsid w:val="006507FB"/>
    <w:rsid w:val="0066469B"/>
    <w:rsid w:val="00677F77"/>
    <w:rsid w:val="006E199E"/>
    <w:rsid w:val="0073796C"/>
    <w:rsid w:val="00744EE3"/>
    <w:rsid w:val="00761272"/>
    <w:rsid w:val="007C7B59"/>
    <w:rsid w:val="00807537"/>
    <w:rsid w:val="00825933"/>
    <w:rsid w:val="00847C79"/>
    <w:rsid w:val="00873560"/>
    <w:rsid w:val="008837A9"/>
    <w:rsid w:val="00884780"/>
    <w:rsid w:val="008E4E17"/>
    <w:rsid w:val="008F6BC5"/>
    <w:rsid w:val="00925CAC"/>
    <w:rsid w:val="00937617"/>
    <w:rsid w:val="00944C81"/>
    <w:rsid w:val="00955CDF"/>
    <w:rsid w:val="0097640F"/>
    <w:rsid w:val="009A346B"/>
    <w:rsid w:val="009A71F6"/>
    <w:rsid w:val="009C1C93"/>
    <w:rsid w:val="009C2BFF"/>
    <w:rsid w:val="009C3B05"/>
    <w:rsid w:val="00A17549"/>
    <w:rsid w:val="00A370DA"/>
    <w:rsid w:val="00AB4F3C"/>
    <w:rsid w:val="00AB78A4"/>
    <w:rsid w:val="00AE2E11"/>
    <w:rsid w:val="00B048E8"/>
    <w:rsid w:val="00B06609"/>
    <w:rsid w:val="00B57DF2"/>
    <w:rsid w:val="00B7378C"/>
    <w:rsid w:val="00BC6871"/>
    <w:rsid w:val="00BE0F58"/>
    <w:rsid w:val="00C86ECA"/>
    <w:rsid w:val="00CE1C99"/>
    <w:rsid w:val="00CF069E"/>
    <w:rsid w:val="00D034D3"/>
    <w:rsid w:val="00D42551"/>
    <w:rsid w:val="00D61A37"/>
    <w:rsid w:val="00DB3ED8"/>
    <w:rsid w:val="00DC159E"/>
    <w:rsid w:val="00DC4B70"/>
    <w:rsid w:val="00DE09A0"/>
    <w:rsid w:val="00DE42D4"/>
    <w:rsid w:val="00E02639"/>
    <w:rsid w:val="00E50754"/>
    <w:rsid w:val="00E71DA4"/>
    <w:rsid w:val="00E746C3"/>
    <w:rsid w:val="00EB3277"/>
    <w:rsid w:val="00EB4D3E"/>
    <w:rsid w:val="00EF28E7"/>
    <w:rsid w:val="00EF79C6"/>
    <w:rsid w:val="00F37259"/>
    <w:rsid w:val="00FD0568"/>
    <w:rsid w:val="00FF2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297507F"/>
  <w15:docId w15:val="{2E4156DB-1004-4348-A14E-000A4709F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7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78C"/>
  </w:style>
  <w:style w:type="paragraph" w:styleId="Footer">
    <w:name w:val="footer"/>
    <w:basedOn w:val="Normal"/>
    <w:link w:val="FooterChar"/>
    <w:uiPriority w:val="99"/>
    <w:unhideWhenUsed/>
    <w:rsid w:val="00B737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78C"/>
  </w:style>
  <w:style w:type="paragraph" w:styleId="BalloonText">
    <w:name w:val="Balloon Text"/>
    <w:basedOn w:val="Normal"/>
    <w:link w:val="BalloonTextChar"/>
    <w:uiPriority w:val="99"/>
    <w:semiHidden/>
    <w:unhideWhenUsed/>
    <w:rsid w:val="00100A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A50"/>
    <w:rPr>
      <w:rFonts w:ascii="Tahoma" w:hAnsi="Tahoma" w:cs="Tahoma"/>
      <w:sz w:val="16"/>
      <w:szCs w:val="16"/>
    </w:rPr>
  </w:style>
  <w:style w:type="character" w:styleId="CommentReference">
    <w:name w:val="annotation reference"/>
    <w:basedOn w:val="DefaultParagraphFont"/>
    <w:uiPriority w:val="99"/>
    <w:semiHidden/>
    <w:unhideWhenUsed/>
    <w:rsid w:val="00B57DF2"/>
    <w:rPr>
      <w:sz w:val="16"/>
      <w:szCs w:val="16"/>
    </w:rPr>
  </w:style>
  <w:style w:type="paragraph" w:styleId="CommentText">
    <w:name w:val="annotation text"/>
    <w:basedOn w:val="Normal"/>
    <w:link w:val="CommentTextChar"/>
    <w:uiPriority w:val="99"/>
    <w:semiHidden/>
    <w:unhideWhenUsed/>
    <w:rsid w:val="00B57DF2"/>
    <w:pPr>
      <w:spacing w:line="240" w:lineRule="auto"/>
    </w:pPr>
    <w:rPr>
      <w:sz w:val="20"/>
      <w:szCs w:val="20"/>
    </w:rPr>
  </w:style>
  <w:style w:type="character" w:customStyle="1" w:styleId="CommentTextChar">
    <w:name w:val="Comment Text Char"/>
    <w:basedOn w:val="DefaultParagraphFont"/>
    <w:link w:val="CommentText"/>
    <w:uiPriority w:val="99"/>
    <w:semiHidden/>
    <w:rsid w:val="00B57DF2"/>
    <w:rPr>
      <w:sz w:val="20"/>
      <w:szCs w:val="20"/>
    </w:rPr>
  </w:style>
  <w:style w:type="paragraph" w:styleId="CommentSubject">
    <w:name w:val="annotation subject"/>
    <w:basedOn w:val="CommentText"/>
    <w:next w:val="CommentText"/>
    <w:link w:val="CommentSubjectChar"/>
    <w:uiPriority w:val="99"/>
    <w:semiHidden/>
    <w:unhideWhenUsed/>
    <w:rsid w:val="00B57DF2"/>
    <w:rPr>
      <w:b/>
      <w:bCs/>
    </w:rPr>
  </w:style>
  <w:style w:type="character" w:customStyle="1" w:styleId="CommentSubjectChar">
    <w:name w:val="Comment Subject Char"/>
    <w:basedOn w:val="CommentTextChar"/>
    <w:link w:val="CommentSubject"/>
    <w:uiPriority w:val="99"/>
    <w:semiHidden/>
    <w:rsid w:val="00B57DF2"/>
    <w:rPr>
      <w:b/>
      <w:bCs/>
      <w:sz w:val="20"/>
      <w:szCs w:val="20"/>
    </w:rPr>
  </w:style>
  <w:style w:type="paragraph" w:styleId="ListParagraph">
    <w:name w:val="List Paragraph"/>
    <w:basedOn w:val="Normal"/>
    <w:uiPriority w:val="34"/>
    <w:qFormat/>
    <w:rsid w:val="006E199E"/>
    <w:pPr>
      <w:ind w:left="720"/>
      <w:contextualSpacing/>
    </w:pPr>
  </w:style>
  <w:style w:type="character" w:styleId="Hyperlink">
    <w:name w:val="Hyperlink"/>
    <w:basedOn w:val="DefaultParagraphFont"/>
    <w:uiPriority w:val="99"/>
    <w:unhideWhenUsed/>
    <w:rsid w:val="006E19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lnsec@nol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City of New Orleans</Company>
  <LinksUpToDate>false</LinksUpToDate>
  <CharactersWithSpaces>2925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A. Perez</dc:creator>
  <cp:lastModifiedBy>Sarah A. Babcock</cp:lastModifiedBy>
  <cp:revision>2</cp:revision>
  <cp:lastPrinted>2019-08-26T17:14:00Z</cp:lastPrinted>
  <dcterms:created xsi:type="dcterms:W3CDTF">2019-08-26T17:14:00Z</dcterms:created>
  <dcterms:modified xsi:type="dcterms:W3CDTF">2019-08-26T17:14:00Z</dcterms:modified>
</cp:coreProperties>
</file>