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BE1E1" w14:textId="70510858" w:rsidR="00B048E8" w:rsidRPr="00317F6B" w:rsidRDefault="00787A27" w:rsidP="00EB3277">
      <w:pPr>
        <w:spacing w:after="0" w:line="240" w:lineRule="auto"/>
        <w:jc w:val="center"/>
        <w:rPr>
          <w:b/>
          <w:sz w:val="36"/>
          <w:szCs w:val="36"/>
        </w:rPr>
      </w:pPr>
      <w:r>
        <w:rPr>
          <w:b/>
          <w:sz w:val="36"/>
          <w:szCs w:val="36"/>
        </w:rPr>
        <w:t>Department of Safety and Permits</w:t>
      </w:r>
    </w:p>
    <w:p w14:paraId="5E556415" w14:textId="77777777" w:rsidR="00EB3277" w:rsidRPr="00317F6B" w:rsidRDefault="00EB3277" w:rsidP="00EB3277">
      <w:pPr>
        <w:spacing w:after="0" w:line="240" w:lineRule="auto"/>
        <w:jc w:val="center"/>
        <w:rPr>
          <w:b/>
          <w:sz w:val="36"/>
          <w:szCs w:val="36"/>
        </w:rPr>
      </w:pPr>
      <w:r w:rsidRPr="00317F6B">
        <w:rPr>
          <w:b/>
          <w:sz w:val="36"/>
          <w:szCs w:val="36"/>
        </w:rPr>
        <w:t>Regulations</w:t>
      </w:r>
      <w:r w:rsidR="009A346B">
        <w:rPr>
          <w:b/>
          <w:sz w:val="36"/>
          <w:szCs w:val="36"/>
        </w:rPr>
        <w:t xml:space="preserve"> Governing</w:t>
      </w:r>
    </w:p>
    <w:p w14:paraId="0CED5053" w14:textId="1C50C792" w:rsidR="00163741" w:rsidRDefault="004A6E09" w:rsidP="00EB3277">
      <w:pPr>
        <w:spacing w:after="0" w:line="240" w:lineRule="auto"/>
        <w:jc w:val="center"/>
        <w:rPr>
          <w:b/>
          <w:sz w:val="36"/>
          <w:szCs w:val="36"/>
        </w:rPr>
      </w:pPr>
      <w:r>
        <w:rPr>
          <w:b/>
          <w:sz w:val="36"/>
          <w:szCs w:val="36"/>
        </w:rPr>
        <w:t>Nursing Home Emergency Preparedness</w:t>
      </w:r>
    </w:p>
    <w:p w14:paraId="072F39B3" w14:textId="77777777" w:rsidR="00B57DF2" w:rsidRDefault="00B57DF2" w:rsidP="00EB3277">
      <w:pPr>
        <w:spacing w:after="0" w:line="240" w:lineRule="auto"/>
        <w:jc w:val="center"/>
        <w:rPr>
          <w:b/>
          <w:sz w:val="36"/>
          <w:szCs w:val="36"/>
        </w:rPr>
      </w:pPr>
    </w:p>
    <w:p w14:paraId="39C54EAF" w14:textId="14BDFC5C" w:rsidR="00E71DA4" w:rsidRPr="00CC3825" w:rsidRDefault="00D42551" w:rsidP="00CC3825">
      <w:pPr>
        <w:pStyle w:val="ListParagraph"/>
        <w:numPr>
          <w:ilvl w:val="0"/>
          <w:numId w:val="3"/>
        </w:numPr>
        <w:spacing w:after="0" w:line="480" w:lineRule="auto"/>
        <w:jc w:val="both"/>
        <w:rPr>
          <w:sz w:val="28"/>
          <w:szCs w:val="28"/>
        </w:rPr>
      </w:pPr>
      <w:r w:rsidRPr="00CC3825">
        <w:rPr>
          <w:b/>
          <w:sz w:val="28"/>
          <w:szCs w:val="28"/>
        </w:rPr>
        <w:t>Authority</w:t>
      </w:r>
      <w:r w:rsidR="00E71DA4" w:rsidRPr="00CC3825">
        <w:rPr>
          <w:sz w:val="28"/>
          <w:szCs w:val="28"/>
        </w:rPr>
        <w:t>. Pursuant to Section 4-107(3) of the Home Rule Charter</w:t>
      </w:r>
      <w:bookmarkStart w:id="0" w:name="_GoBack"/>
      <w:bookmarkEnd w:id="0"/>
      <w:r w:rsidR="00E71DA4" w:rsidRPr="00CC3825">
        <w:rPr>
          <w:sz w:val="28"/>
          <w:szCs w:val="28"/>
        </w:rPr>
        <w:t xml:space="preserve"> of the City of New Orleans, Section 2-1000 of the City Code</w:t>
      </w:r>
      <w:r w:rsidR="000A7A3F" w:rsidRPr="00CC3825">
        <w:rPr>
          <w:sz w:val="28"/>
          <w:szCs w:val="28"/>
        </w:rPr>
        <w:t>,</w:t>
      </w:r>
      <w:r w:rsidR="00E71DA4" w:rsidRPr="00CC3825">
        <w:rPr>
          <w:sz w:val="28"/>
          <w:szCs w:val="28"/>
        </w:rPr>
        <w:t xml:space="preserve"> Section </w:t>
      </w:r>
      <w:r w:rsidR="00787A27" w:rsidRPr="00CC3825">
        <w:rPr>
          <w:sz w:val="28"/>
          <w:szCs w:val="28"/>
        </w:rPr>
        <w:t>30-1082</w:t>
      </w:r>
      <w:r w:rsidR="00E71DA4" w:rsidRPr="00CC3825">
        <w:rPr>
          <w:sz w:val="28"/>
          <w:szCs w:val="28"/>
        </w:rPr>
        <w:t xml:space="preserve"> of the City Code</w:t>
      </w:r>
      <w:r w:rsidR="00163741" w:rsidRPr="00CC3825">
        <w:rPr>
          <w:sz w:val="28"/>
          <w:szCs w:val="28"/>
        </w:rPr>
        <w:t>,</w:t>
      </w:r>
      <w:r w:rsidR="000A7A3F" w:rsidRPr="00CC3825">
        <w:rPr>
          <w:sz w:val="28"/>
          <w:szCs w:val="28"/>
        </w:rPr>
        <w:t xml:space="preserve"> </w:t>
      </w:r>
      <w:r w:rsidR="00E71DA4" w:rsidRPr="00CC3825">
        <w:rPr>
          <w:sz w:val="28"/>
          <w:szCs w:val="28"/>
        </w:rPr>
        <w:t xml:space="preserve">the </w:t>
      </w:r>
      <w:r w:rsidR="00787A27" w:rsidRPr="00CC3825">
        <w:rPr>
          <w:sz w:val="28"/>
          <w:szCs w:val="28"/>
        </w:rPr>
        <w:t>Department of Safety and Permits</w:t>
      </w:r>
      <w:r w:rsidR="00E71DA4" w:rsidRPr="00CC3825">
        <w:rPr>
          <w:sz w:val="28"/>
          <w:szCs w:val="28"/>
        </w:rPr>
        <w:t xml:space="preserve"> of </w:t>
      </w:r>
      <w:r w:rsidR="00163741" w:rsidRPr="00CC3825">
        <w:rPr>
          <w:sz w:val="28"/>
          <w:szCs w:val="28"/>
        </w:rPr>
        <w:t>the City of New Orleans proposes</w:t>
      </w:r>
      <w:r w:rsidR="00E71DA4" w:rsidRPr="00CC3825">
        <w:rPr>
          <w:sz w:val="28"/>
          <w:szCs w:val="28"/>
        </w:rPr>
        <w:t xml:space="preserve"> the following regulations relative to</w:t>
      </w:r>
      <w:r w:rsidRPr="00CC3825">
        <w:rPr>
          <w:sz w:val="28"/>
          <w:szCs w:val="28"/>
        </w:rPr>
        <w:t xml:space="preserve"> </w:t>
      </w:r>
      <w:r w:rsidR="0073796C" w:rsidRPr="00CC3825">
        <w:rPr>
          <w:sz w:val="28"/>
          <w:szCs w:val="28"/>
        </w:rPr>
        <w:t>nursing home emergency preparedness</w:t>
      </w:r>
      <w:r w:rsidR="00163741" w:rsidRPr="00CC3825">
        <w:rPr>
          <w:sz w:val="28"/>
          <w:szCs w:val="28"/>
        </w:rPr>
        <w:t>,</w:t>
      </w:r>
      <w:r w:rsidR="00E71DA4" w:rsidRPr="00CC3825">
        <w:rPr>
          <w:sz w:val="28"/>
          <w:szCs w:val="28"/>
        </w:rPr>
        <w:t xml:space="preserve"> including but not limited to regulations </w:t>
      </w:r>
      <w:r w:rsidR="00787A27" w:rsidRPr="00CC3825">
        <w:rPr>
          <w:sz w:val="28"/>
          <w:szCs w:val="28"/>
        </w:rPr>
        <w:t>on licensure and inspections of nursing homes</w:t>
      </w:r>
      <w:r w:rsidR="00E71DA4" w:rsidRPr="00CC3825">
        <w:rPr>
          <w:sz w:val="28"/>
          <w:szCs w:val="28"/>
        </w:rPr>
        <w:t>.</w:t>
      </w:r>
    </w:p>
    <w:p w14:paraId="6168746D" w14:textId="75E84922" w:rsidR="00E71DA4" w:rsidRPr="00CC3825" w:rsidRDefault="00E71DA4" w:rsidP="00CC3825">
      <w:pPr>
        <w:pStyle w:val="ListParagraph"/>
        <w:numPr>
          <w:ilvl w:val="0"/>
          <w:numId w:val="3"/>
        </w:numPr>
        <w:spacing w:after="0" w:line="480" w:lineRule="auto"/>
        <w:jc w:val="both"/>
        <w:rPr>
          <w:sz w:val="28"/>
          <w:szCs w:val="28"/>
        </w:rPr>
      </w:pPr>
      <w:r w:rsidRPr="00CC3825">
        <w:rPr>
          <w:b/>
          <w:sz w:val="28"/>
          <w:szCs w:val="28"/>
        </w:rPr>
        <w:t>Applicability</w:t>
      </w:r>
      <w:r w:rsidRPr="00CC3825">
        <w:rPr>
          <w:sz w:val="28"/>
          <w:szCs w:val="28"/>
        </w:rPr>
        <w:t>.  These regulations shall</w:t>
      </w:r>
      <w:r w:rsidR="0025439A" w:rsidRPr="00CC3825">
        <w:rPr>
          <w:sz w:val="28"/>
          <w:szCs w:val="28"/>
        </w:rPr>
        <w:t xml:space="preserve"> apply </w:t>
      </w:r>
      <w:r w:rsidR="0073796C" w:rsidRPr="00CC3825">
        <w:rPr>
          <w:sz w:val="28"/>
          <w:szCs w:val="28"/>
        </w:rPr>
        <w:t xml:space="preserve">to all nursing homes regulated by Article XIII of Chapter 30 of the City Code. </w:t>
      </w:r>
    </w:p>
    <w:p w14:paraId="239A1035" w14:textId="6B4A9190" w:rsidR="00465E2D" w:rsidRPr="00CC3825" w:rsidRDefault="009F5047" w:rsidP="00CC3825">
      <w:pPr>
        <w:pStyle w:val="ListParagraph"/>
        <w:numPr>
          <w:ilvl w:val="0"/>
          <w:numId w:val="3"/>
        </w:numPr>
        <w:spacing w:after="0" w:line="480" w:lineRule="auto"/>
        <w:jc w:val="both"/>
        <w:rPr>
          <w:sz w:val="28"/>
          <w:szCs w:val="28"/>
        </w:rPr>
      </w:pPr>
      <w:r w:rsidRPr="00CC3825">
        <w:rPr>
          <w:b/>
          <w:sz w:val="28"/>
          <w:szCs w:val="28"/>
        </w:rPr>
        <w:t>Definitions.</w:t>
      </w:r>
      <w:r w:rsidR="00465E2D" w:rsidRPr="00CC3825">
        <w:rPr>
          <w:sz w:val="28"/>
          <w:szCs w:val="28"/>
        </w:rPr>
        <w:t xml:space="preserve"> For the purpose of this regulation, the following term shall have the following meanings:</w:t>
      </w:r>
    </w:p>
    <w:p w14:paraId="686C9925" w14:textId="18970481" w:rsidR="00465E2D" w:rsidRPr="00CC3825" w:rsidRDefault="00465E2D" w:rsidP="00CC3825">
      <w:pPr>
        <w:spacing w:after="0" w:line="480" w:lineRule="auto"/>
        <w:ind w:left="1080"/>
        <w:jc w:val="both"/>
        <w:rPr>
          <w:sz w:val="28"/>
          <w:szCs w:val="28"/>
        </w:rPr>
      </w:pPr>
      <w:r w:rsidRPr="00CC3825">
        <w:rPr>
          <w:i/>
          <w:sz w:val="28"/>
          <w:szCs w:val="28"/>
        </w:rPr>
        <w:t>Patient Area</w:t>
      </w:r>
      <w:r w:rsidRPr="00CC3825">
        <w:rPr>
          <w:sz w:val="28"/>
          <w:szCs w:val="28"/>
        </w:rPr>
        <w:t xml:space="preserve"> shall mean any area where patients would spend more than two (2) hour of their time including bedrooms and living spaces.  This does not apply to employee office space, chapels and areas restricted to residents. </w:t>
      </w:r>
    </w:p>
    <w:p w14:paraId="333619D7" w14:textId="1C5A68B2" w:rsidR="00BB506C" w:rsidRPr="00CC3825" w:rsidRDefault="00787A27" w:rsidP="00CC3825">
      <w:pPr>
        <w:pStyle w:val="ListParagraph"/>
        <w:numPr>
          <w:ilvl w:val="0"/>
          <w:numId w:val="3"/>
        </w:numPr>
        <w:spacing w:after="0" w:line="480" w:lineRule="auto"/>
        <w:jc w:val="both"/>
        <w:rPr>
          <w:sz w:val="28"/>
          <w:szCs w:val="28"/>
        </w:rPr>
      </w:pPr>
      <w:r w:rsidRPr="00CC3825">
        <w:rPr>
          <w:b/>
          <w:sz w:val="28"/>
          <w:szCs w:val="28"/>
        </w:rPr>
        <w:lastRenderedPageBreak/>
        <w:t>License</w:t>
      </w:r>
      <w:r w:rsidR="00AE2E11" w:rsidRPr="00CC3825">
        <w:rPr>
          <w:b/>
          <w:sz w:val="28"/>
          <w:szCs w:val="28"/>
        </w:rPr>
        <w:t>.</w:t>
      </w:r>
      <w:r w:rsidR="006E199E" w:rsidRPr="00CC3825">
        <w:rPr>
          <w:b/>
          <w:sz w:val="28"/>
          <w:szCs w:val="28"/>
        </w:rPr>
        <w:t xml:space="preserve"> </w:t>
      </w:r>
      <w:r w:rsidRPr="00CC3825">
        <w:rPr>
          <w:sz w:val="28"/>
          <w:szCs w:val="28"/>
        </w:rPr>
        <w:t>Pursuant to Section 30-1082</w:t>
      </w:r>
      <w:r w:rsidR="006E199E" w:rsidRPr="00CC3825">
        <w:rPr>
          <w:sz w:val="28"/>
          <w:szCs w:val="28"/>
        </w:rPr>
        <w:t xml:space="preserve"> of the City Code, nursing homes must </w:t>
      </w:r>
      <w:r w:rsidR="005B766A" w:rsidRPr="00CC3825">
        <w:rPr>
          <w:sz w:val="28"/>
          <w:szCs w:val="28"/>
        </w:rPr>
        <w:t xml:space="preserve">obtain a license from the Department of Safety and Permits annually.  </w:t>
      </w:r>
    </w:p>
    <w:p w14:paraId="339003CD" w14:textId="536F30AE" w:rsidR="00BB506C" w:rsidRDefault="005B766A" w:rsidP="00CC3825">
      <w:pPr>
        <w:pStyle w:val="ListParagraph"/>
        <w:numPr>
          <w:ilvl w:val="1"/>
          <w:numId w:val="3"/>
        </w:numPr>
        <w:spacing w:after="0" w:line="480" w:lineRule="auto"/>
        <w:jc w:val="both"/>
        <w:rPr>
          <w:sz w:val="28"/>
          <w:szCs w:val="28"/>
        </w:rPr>
      </w:pPr>
      <w:r w:rsidRPr="00CC3825">
        <w:rPr>
          <w:sz w:val="28"/>
          <w:szCs w:val="28"/>
        </w:rPr>
        <w:t>Nursing homes must apply for a license prior to September 1, 2019 which will be valid until May 31, 2020.  Thereafter all licenses shall expire on May 31</w:t>
      </w:r>
      <w:r w:rsidR="00CE0758" w:rsidRPr="00CC3825">
        <w:rPr>
          <w:sz w:val="28"/>
          <w:szCs w:val="28"/>
        </w:rPr>
        <w:t xml:space="preserve">. </w:t>
      </w:r>
      <w:r w:rsidRPr="00CC3825">
        <w:rPr>
          <w:sz w:val="28"/>
          <w:szCs w:val="28"/>
        </w:rPr>
        <w:t xml:space="preserve"> </w:t>
      </w:r>
      <w:r w:rsidR="00CE0758" w:rsidRPr="00CC3825">
        <w:rPr>
          <w:sz w:val="28"/>
          <w:szCs w:val="28"/>
        </w:rPr>
        <w:t>Renewal applications</w:t>
      </w:r>
      <w:r w:rsidRPr="00CC3825">
        <w:rPr>
          <w:sz w:val="28"/>
          <w:szCs w:val="28"/>
        </w:rPr>
        <w:t xml:space="preserve"> must be</w:t>
      </w:r>
      <w:r w:rsidR="00CE0758" w:rsidRPr="00CC3825">
        <w:rPr>
          <w:sz w:val="28"/>
          <w:szCs w:val="28"/>
        </w:rPr>
        <w:t xml:space="preserve"> submitted to the Department of Safety and Permits by May 1 in order for review, inspection, and issuance to be</w:t>
      </w:r>
      <w:r w:rsidRPr="00CC3825">
        <w:rPr>
          <w:sz w:val="28"/>
          <w:szCs w:val="28"/>
        </w:rPr>
        <w:t xml:space="preserve"> completed by June 1. </w:t>
      </w:r>
    </w:p>
    <w:p w14:paraId="7A1C33AD" w14:textId="77777777" w:rsidR="00BB506C" w:rsidRDefault="00A60858" w:rsidP="00CC3825">
      <w:pPr>
        <w:pStyle w:val="ListParagraph"/>
        <w:numPr>
          <w:ilvl w:val="1"/>
          <w:numId w:val="3"/>
        </w:numPr>
        <w:spacing w:after="0" w:line="480" w:lineRule="auto"/>
        <w:jc w:val="both"/>
        <w:rPr>
          <w:sz w:val="28"/>
          <w:szCs w:val="28"/>
        </w:rPr>
      </w:pPr>
      <w:r w:rsidRPr="00CC3825">
        <w:rPr>
          <w:sz w:val="28"/>
          <w:szCs w:val="28"/>
        </w:rPr>
        <w:t>Delinquent applications shall continuously accrue late fees</w:t>
      </w:r>
      <w:r w:rsidR="00BB506C" w:rsidRPr="00CC3825">
        <w:rPr>
          <w:sz w:val="28"/>
          <w:szCs w:val="28"/>
        </w:rPr>
        <w:t xml:space="preserve"> unless the nursing home informs the Director of Safety and Permits in writing that they have ceased operations fully. </w:t>
      </w:r>
    </w:p>
    <w:p w14:paraId="21DE47DE" w14:textId="27B9CE0B" w:rsidR="00AE2E11" w:rsidRDefault="00BB506C" w:rsidP="00CC3825">
      <w:pPr>
        <w:pStyle w:val="ListParagraph"/>
        <w:numPr>
          <w:ilvl w:val="1"/>
          <w:numId w:val="3"/>
        </w:numPr>
        <w:spacing w:after="0" w:line="480" w:lineRule="auto"/>
        <w:jc w:val="both"/>
        <w:rPr>
          <w:sz w:val="28"/>
          <w:szCs w:val="28"/>
        </w:rPr>
      </w:pPr>
      <w:r w:rsidRPr="00CC3825">
        <w:rPr>
          <w:sz w:val="28"/>
          <w:szCs w:val="28"/>
        </w:rPr>
        <w:t xml:space="preserve">Upon transition between </w:t>
      </w:r>
      <w:r w:rsidRPr="00BB506C">
        <w:rPr>
          <w:sz w:val="28"/>
          <w:szCs w:val="28"/>
        </w:rPr>
        <w:t xml:space="preserve">nursing home operators or owners, a new application shall be </w:t>
      </w:r>
      <w:r>
        <w:rPr>
          <w:sz w:val="28"/>
          <w:szCs w:val="28"/>
        </w:rPr>
        <w:t xml:space="preserve">submitted and paid for </w:t>
      </w:r>
      <w:r w:rsidRPr="00BB506C">
        <w:rPr>
          <w:sz w:val="28"/>
          <w:szCs w:val="28"/>
        </w:rPr>
        <w:t xml:space="preserve">within 10 business days of the </w:t>
      </w:r>
      <w:r>
        <w:rPr>
          <w:sz w:val="28"/>
          <w:szCs w:val="28"/>
        </w:rPr>
        <w:t>change.</w:t>
      </w:r>
    </w:p>
    <w:p w14:paraId="2DBAF44A" w14:textId="42153D63" w:rsidR="00BB506C" w:rsidRDefault="00BB506C" w:rsidP="00CC3825">
      <w:pPr>
        <w:pStyle w:val="ListParagraph"/>
        <w:numPr>
          <w:ilvl w:val="1"/>
          <w:numId w:val="3"/>
        </w:numPr>
        <w:spacing w:after="0" w:line="480" w:lineRule="auto"/>
        <w:jc w:val="both"/>
        <w:rPr>
          <w:sz w:val="28"/>
          <w:szCs w:val="28"/>
        </w:rPr>
      </w:pPr>
      <w:r>
        <w:rPr>
          <w:sz w:val="28"/>
          <w:szCs w:val="28"/>
        </w:rPr>
        <w:t>Application Review: Pursuant to Sections 30-1084, 30-1085,</w:t>
      </w:r>
      <w:r w:rsidR="0016140F">
        <w:rPr>
          <w:sz w:val="28"/>
          <w:szCs w:val="28"/>
        </w:rPr>
        <w:t xml:space="preserve"> 30-1087 and 30-1088</w:t>
      </w:r>
      <w:r>
        <w:rPr>
          <w:sz w:val="28"/>
          <w:szCs w:val="28"/>
        </w:rPr>
        <w:t xml:space="preserve">, the Department of Safety and Permits shall consider </w:t>
      </w:r>
      <w:r w:rsidR="0016140F">
        <w:rPr>
          <w:sz w:val="28"/>
          <w:szCs w:val="28"/>
        </w:rPr>
        <w:t xml:space="preserve">at a minimum </w:t>
      </w:r>
      <w:r>
        <w:rPr>
          <w:sz w:val="28"/>
          <w:szCs w:val="28"/>
        </w:rPr>
        <w:t>the following during the review of a license application.</w:t>
      </w:r>
    </w:p>
    <w:p w14:paraId="0E312654" w14:textId="68AA14BE" w:rsidR="00BB506C" w:rsidRDefault="0016140F" w:rsidP="00CC3825">
      <w:pPr>
        <w:pStyle w:val="ListParagraph"/>
        <w:numPr>
          <w:ilvl w:val="2"/>
          <w:numId w:val="3"/>
        </w:numPr>
        <w:spacing w:after="0" w:line="480" w:lineRule="auto"/>
        <w:jc w:val="both"/>
        <w:rPr>
          <w:sz w:val="28"/>
          <w:szCs w:val="28"/>
        </w:rPr>
      </w:pPr>
      <w:r>
        <w:rPr>
          <w:sz w:val="28"/>
          <w:szCs w:val="28"/>
        </w:rPr>
        <w:lastRenderedPageBreak/>
        <w:t>Compliance of all equipment installation with the requirements of Sections 26-14 through 26-20 of the Code of the City of New Orleans.</w:t>
      </w:r>
    </w:p>
    <w:p w14:paraId="346BEE69" w14:textId="756D151F" w:rsidR="0016140F" w:rsidRDefault="0016140F" w:rsidP="00CC3825">
      <w:pPr>
        <w:pStyle w:val="ListParagraph"/>
        <w:numPr>
          <w:ilvl w:val="2"/>
          <w:numId w:val="3"/>
        </w:numPr>
        <w:spacing w:after="0" w:line="480" w:lineRule="auto"/>
        <w:jc w:val="both"/>
        <w:rPr>
          <w:sz w:val="28"/>
          <w:szCs w:val="28"/>
        </w:rPr>
      </w:pPr>
      <w:r>
        <w:rPr>
          <w:sz w:val="28"/>
          <w:szCs w:val="28"/>
        </w:rPr>
        <w:t>Licensure by the Louisiana Department of Health.</w:t>
      </w:r>
    </w:p>
    <w:p w14:paraId="6E3EBB2E" w14:textId="16A1DA56" w:rsidR="0016140F" w:rsidRDefault="0016140F" w:rsidP="00CC3825">
      <w:pPr>
        <w:pStyle w:val="ListParagraph"/>
        <w:numPr>
          <w:ilvl w:val="2"/>
          <w:numId w:val="3"/>
        </w:numPr>
        <w:spacing w:after="0" w:line="480" w:lineRule="auto"/>
        <w:jc w:val="both"/>
        <w:rPr>
          <w:sz w:val="28"/>
          <w:szCs w:val="28"/>
        </w:rPr>
      </w:pPr>
      <w:r>
        <w:rPr>
          <w:sz w:val="28"/>
          <w:szCs w:val="28"/>
        </w:rPr>
        <w:t>Compliance with the Fire Code of the City of New Orleans as confirmed by the New Orleans Fire Department.</w:t>
      </w:r>
    </w:p>
    <w:p w14:paraId="3F0AA67D" w14:textId="111BE000" w:rsidR="0016140F" w:rsidRDefault="0016140F" w:rsidP="00CC3825">
      <w:pPr>
        <w:pStyle w:val="ListParagraph"/>
        <w:numPr>
          <w:ilvl w:val="2"/>
          <w:numId w:val="3"/>
        </w:numPr>
        <w:spacing w:after="0" w:line="480" w:lineRule="auto"/>
        <w:jc w:val="both"/>
        <w:rPr>
          <w:sz w:val="28"/>
          <w:szCs w:val="28"/>
        </w:rPr>
      </w:pPr>
      <w:r>
        <w:rPr>
          <w:sz w:val="28"/>
          <w:szCs w:val="28"/>
        </w:rPr>
        <w:t xml:space="preserve">Compliance with all requirements of the Mayor’s Office of Homeland Security and Emergency Preparedness as confirmed by </w:t>
      </w:r>
      <w:r w:rsidR="005C60FF">
        <w:rPr>
          <w:sz w:val="28"/>
          <w:szCs w:val="28"/>
        </w:rPr>
        <w:t>the Mayor’s Office of Homeland Security and Emergency Preparedness</w:t>
      </w:r>
      <w:r>
        <w:rPr>
          <w:sz w:val="28"/>
          <w:szCs w:val="28"/>
        </w:rPr>
        <w:t xml:space="preserve">. </w:t>
      </w:r>
    </w:p>
    <w:p w14:paraId="20BFBF6A" w14:textId="07A7D862" w:rsidR="0016140F" w:rsidRPr="00CC3825" w:rsidRDefault="0016140F" w:rsidP="00CC3825">
      <w:pPr>
        <w:pStyle w:val="ListParagraph"/>
        <w:numPr>
          <w:ilvl w:val="2"/>
          <w:numId w:val="3"/>
        </w:numPr>
        <w:spacing w:after="0" w:line="480" w:lineRule="auto"/>
        <w:jc w:val="both"/>
        <w:rPr>
          <w:sz w:val="28"/>
          <w:szCs w:val="28"/>
        </w:rPr>
      </w:pPr>
      <w:r>
        <w:rPr>
          <w:sz w:val="28"/>
          <w:szCs w:val="28"/>
        </w:rPr>
        <w:t>Approval of the City Department of Health.</w:t>
      </w:r>
    </w:p>
    <w:p w14:paraId="25E9E547" w14:textId="2AF4CCAD" w:rsidR="00465E2D" w:rsidRPr="00CC3825" w:rsidRDefault="00787A27" w:rsidP="00CC3825">
      <w:pPr>
        <w:pStyle w:val="ListParagraph"/>
        <w:numPr>
          <w:ilvl w:val="0"/>
          <w:numId w:val="3"/>
        </w:numPr>
        <w:spacing w:after="0" w:line="480" w:lineRule="auto"/>
        <w:jc w:val="both"/>
        <w:rPr>
          <w:sz w:val="28"/>
          <w:szCs w:val="28"/>
        </w:rPr>
      </w:pPr>
      <w:r w:rsidRPr="00CC3825">
        <w:rPr>
          <w:b/>
          <w:sz w:val="28"/>
          <w:szCs w:val="28"/>
        </w:rPr>
        <w:t xml:space="preserve">Inspections. </w:t>
      </w:r>
      <w:r w:rsidR="00AE2E11" w:rsidRPr="00CC3825">
        <w:rPr>
          <w:b/>
          <w:sz w:val="28"/>
          <w:szCs w:val="28"/>
        </w:rPr>
        <w:t xml:space="preserve"> </w:t>
      </w:r>
      <w:r w:rsidR="00465E2D" w:rsidRPr="00CC3825">
        <w:rPr>
          <w:sz w:val="28"/>
          <w:szCs w:val="28"/>
        </w:rPr>
        <w:t xml:space="preserve"> </w:t>
      </w:r>
    </w:p>
    <w:p w14:paraId="0CF35C56" w14:textId="3528B3B8" w:rsidR="00CE0758" w:rsidRDefault="00BB506C" w:rsidP="00CC3825">
      <w:pPr>
        <w:pStyle w:val="ListParagraph"/>
        <w:numPr>
          <w:ilvl w:val="1"/>
          <w:numId w:val="3"/>
        </w:numPr>
        <w:spacing w:after="0" w:line="480" w:lineRule="auto"/>
        <w:jc w:val="both"/>
        <w:rPr>
          <w:sz w:val="28"/>
          <w:szCs w:val="28"/>
        </w:rPr>
      </w:pPr>
      <w:r w:rsidRPr="00CC3825">
        <w:rPr>
          <w:sz w:val="28"/>
          <w:szCs w:val="28"/>
        </w:rPr>
        <w:t xml:space="preserve">Pursuant to Section 30-1085, </w:t>
      </w:r>
      <w:r w:rsidR="00CE0758" w:rsidRPr="00CC3825">
        <w:rPr>
          <w:sz w:val="28"/>
          <w:szCs w:val="28"/>
        </w:rPr>
        <w:t xml:space="preserve">The Department of Safety and Permits </w:t>
      </w:r>
      <w:r w:rsidRPr="00CC3825">
        <w:rPr>
          <w:sz w:val="28"/>
          <w:szCs w:val="28"/>
        </w:rPr>
        <w:t>may</w:t>
      </w:r>
      <w:r w:rsidR="00A60858" w:rsidRPr="00CC3825">
        <w:rPr>
          <w:sz w:val="28"/>
          <w:szCs w:val="28"/>
        </w:rPr>
        <w:t xml:space="preserve"> inspect </w:t>
      </w:r>
      <w:r w:rsidRPr="00CC3825">
        <w:rPr>
          <w:sz w:val="28"/>
          <w:szCs w:val="28"/>
        </w:rPr>
        <w:t>any</w:t>
      </w:r>
      <w:r w:rsidR="00A60858" w:rsidRPr="00CC3825">
        <w:rPr>
          <w:sz w:val="28"/>
          <w:szCs w:val="28"/>
        </w:rPr>
        <w:t xml:space="preserve"> nursing home subject to these regulations</w:t>
      </w:r>
      <w:r w:rsidRPr="00CC3825">
        <w:rPr>
          <w:sz w:val="28"/>
          <w:szCs w:val="28"/>
        </w:rPr>
        <w:t>. Such inspections</w:t>
      </w:r>
      <w:r w:rsidR="0016140F">
        <w:rPr>
          <w:sz w:val="28"/>
          <w:szCs w:val="28"/>
        </w:rPr>
        <w:t xml:space="preserve"> </w:t>
      </w:r>
      <w:r w:rsidR="00A44453">
        <w:rPr>
          <w:sz w:val="28"/>
          <w:szCs w:val="28"/>
        </w:rPr>
        <w:t xml:space="preserve">may </w:t>
      </w:r>
      <w:r w:rsidR="0016140F">
        <w:rPr>
          <w:sz w:val="28"/>
          <w:szCs w:val="28"/>
        </w:rPr>
        <w:t>cover:</w:t>
      </w:r>
    </w:p>
    <w:p w14:paraId="4F5F0A2D" w14:textId="4C15D7F0" w:rsidR="0016140F" w:rsidRDefault="0016140F" w:rsidP="00CC3825">
      <w:pPr>
        <w:pStyle w:val="ListParagraph"/>
        <w:numPr>
          <w:ilvl w:val="2"/>
          <w:numId w:val="3"/>
        </w:numPr>
        <w:spacing w:after="0" w:line="480" w:lineRule="auto"/>
        <w:jc w:val="both"/>
        <w:rPr>
          <w:sz w:val="28"/>
          <w:szCs w:val="28"/>
        </w:rPr>
      </w:pPr>
      <w:r>
        <w:rPr>
          <w:sz w:val="28"/>
          <w:szCs w:val="28"/>
        </w:rPr>
        <w:t xml:space="preserve">Demonstration of </w:t>
      </w:r>
      <w:r w:rsidR="00A44453">
        <w:rPr>
          <w:sz w:val="28"/>
          <w:szCs w:val="28"/>
        </w:rPr>
        <w:t>testing of all equipment required in Article XIII of Chapter 30 of the City Code.</w:t>
      </w:r>
    </w:p>
    <w:p w14:paraId="7902FE4D" w14:textId="77777777" w:rsidR="00A44453" w:rsidRPr="00A44453" w:rsidRDefault="00A44453" w:rsidP="00CC3825">
      <w:pPr>
        <w:pStyle w:val="ListParagraph"/>
        <w:numPr>
          <w:ilvl w:val="2"/>
          <w:numId w:val="3"/>
        </w:numPr>
        <w:spacing w:line="480" w:lineRule="auto"/>
        <w:rPr>
          <w:sz w:val="28"/>
          <w:szCs w:val="28"/>
        </w:rPr>
      </w:pPr>
      <w:r w:rsidRPr="00A44453">
        <w:rPr>
          <w:sz w:val="28"/>
          <w:szCs w:val="28"/>
        </w:rPr>
        <w:lastRenderedPageBreak/>
        <w:t>Any violations of Sections 26-14 through 26-20 of the Code of the City of New Orleans.</w:t>
      </w:r>
    </w:p>
    <w:p w14:paraId="65E63897" w14:textId="5F7C8C47" w:rsidR="00A44453" w:rsidRDefault="00A44453" w:rsidP="00CC3825">
      <w:pPr>
        <w:pStyle w:val="ListParagraph"/>
        <w:numPr>
          <w:ilvl w:val="2"/>
          <w:numId w:val="3"/>
        </w:numPr>
        <w:spacing w:after="0" w:line="480" w:lineRule="auto"/>
        <w:ind w:left="2174" w:hanging="187"/>
        <w:jc w:val="both"/>
        <w:rPr>
          <w:sz w:val="28"/>
          <w:szCs w:val="28"/>
        </w:rPr>
      </w:pPr>
      <w:r w:rsidRPr="00A44453">
        <w:rPr>
          <w:sz w:val="28"/>
          <w:szCs w:val="28"/>
        </w:rPr>
        <w:t xml:space="preserve">Any violations </w:t>
      </w:r>
      <w:r>
        <w:rPr>
          <w:sz w:val="28"/>
          <w:szCs w:val="28"/>
        </w:rPr>
        <w:t>of the Comprehensive Zoning Ordinance</w:t>
      </w:r>
      <w:r w:rsidRPr="00A44453">
        <w:rPr>
          <w:sz w:val="28"/>
          <w:szCs w:val="28"/>
        </w:rPr>
        <w:t xml:space="preserve"> of the City of New Orleans</w:t>
      </w:r>
      <w:r>
        <w:rPr>
          <w:sz w:val="28"/>
          <w:szCs w:val="28"/>
        </w:rPr>
        <w:t>.</w:t>
      </w:r>
    </w:p>
    <w:p w14:paraId="7684CB6A" w14:textId="46AA23B7" w:rsidR="00A44453" w:rsidRPr="00CC3825" w:rsidRDefault="00A44453" w:rsidP="00CC3825">
      <w:pPr>
        <w:pStyle w:val="ListParagraph"/>
        <w:numPr>
          <w:ilvl w:val="1"/>
          <w:numId w:val="3"/>
        </w:numPr>
        <w:spacing w:after="0" w:line="480" w:lineRule="auto"/>
        <w:jc w:val="both"/>
        <w:rPr>
          <w:sz w:val="28"/>
          <w:szCs w:val="28"/>
        </w:rPr>
      </w:pPr>
      <w:r>
        <w:rPr>
          <w:sz w:val="28"/>
          <w:szCs w:val="28"/>
        </w:rPr>
        <w:t>Should a facility fail an inspection a wasted trip fee of $50.00 shall be due for re-inspection prior to issuance pursuant to Section 26-15 of the Code of the City of New Orleans Subs</w:t>
      </w:r>
      <w:r w:rsidRPr="00CC3825">
        <w:rPr>
          <w:sz w:val="28"/>
          <w:szCs w:val="28"/>
        </w:rPr>
        <w:t xml:space="preserve">ection </w:t>
      </w:r>
      <w:r w:rsidRPr="00A44453">
        <w:rPr>
          <w:sz w:val="28"/>
          <w:szCs w:val="28"/>
        </w:rPr>
        <w:t>109.6</w:t>
      </w:r>
      <w:r>
        <w:rPr>
          <w:sz w:val="28"/>
          <w:szCs w:val="28"/>
        </w:rPr>
        <w:t xml:space="preserve"> (5)</w:t>
      </w:r>
      <w:r w:rsidRPr="00A44453">
        <w:rPr>
          <w:sz w:val="28"/>
          <w:szCs w:val="28"/>
        </w:rPr>
        <w:t xml:space="preserve"> Schedule of Permit Fees.</w:t>
      </w:r>
    </w:p>
    <w:p w14:paraId="7E5E3244" w14:textId="5506C38F" w:rsidR="009F5047" w:rsidRPr="00CC3825" w:rsidRDefault="005B766A" w:rsidP="00CC3825">
      <w:pPr>
        <w:pStyle w:val="ListParagraph"/>
        <w:numPr>
          <w:ilvl w:val="0"/>
          <w:numId w:val="3"/>
        </w:numPr>
        <w:spacing w:after="0" w:line="480" w:lineRule="auto"/>
        <w:jc w:val="both"/>
        <w:rPr>
          <w:b/>
          <w:sz w:val="28"/>
          <w:szCs w:val="28"/>
        </w:rPr>
      </w:pPr>
      <w:r w:rsidRPr="00CC3825">
        <w:rPr>
          <w:b/>
          <w:sz w:val="28"/>
          <w:szCs w:val="28"/>
        </w:rPr>
        <w:t xml:space="preserve">Generator. </w:t>
      </w:r>
    </w:p>
    <w:p w14:paraId="116A5451" w14:textId="490D6CF6" w:rsidR="00AF0BCB" w:rsidRDefault="005B766A" w:rsidP="00CC3825">
      <w:pPr>
        <w:pStyle w:val="ListParagraph"/>
        <w:numPr>
          <w:ilvl w:val="1"/>
          <w:numId w:val="3"/>
        </w:numPr>
        <w:spacing w:after="0" w:line="480" w:lineRule="auto"/>
        <w:jc w:val="both"/>
        <w:rPr>
          <w:sz w:val="28"/>
          <w:szCs w:val="28"/>
        </w:rPr>
      </w:pPr>
      <w:r w:rsidRPr="00CC3825">
        <w:rPr>
          <w:sz w:val="28"/>
          <w:szCs w:val="28"/>
        </w:rPr>
        <w:t xml:space="preserve">Pursuant to Section 30-1087(2b) all nursing homes must have generator capacity and fuel reserve to sustain Critical Facility Systems for not less than ninety-six (96) hours. </w:t>
      </w:r>
    </w:p>
    <w:p w14:paraId="7E841E8A" w14:textId="7664CC4B" w:rsidR="00AF0BCB" w:rsidRDefault="005B766A" w:rsidP="00C20400">
      <w:pPr>
        <w:pStyle w:val="ListParagraph"/>
        <w:numPr>
          <w:ilvl w:val="2"/>
          <w:numId w:val="3"/>
        </w:numPr>
        <w:spacing w:after="0" w:line="480" w:lineRule="auto"/>
        <w:jc w:val="both"/>
        <w:rPr>
          <w:sz w:val="28"/>
          <w:szCs w:val="28"/>
        </w:rPr>
      </w:pPr>
      <w:r w:rsidRPr="00CC3825">
        <w:rPr>
          <w:sz w:val="28"/>
          <w:szCs w:val="28"/>
        </w:rPr>
        <w:t>For nursing homes without generator or fuel capacity to meet this requirement as of September 1, 2019 a license can be obtained by submitting sufficient documentation that the nursing home is in the process of installing the proper equipment</w:t>
      </w:r>
      <w:r w:rsidR="00F2477C">
        <w:rPr>
          <w:sz w:val="28"/>
          <w:szCs w:val="28"/>
        </w:rPr>
        <w:t xml:space="preserve"> </w:t>
      </w:r>
      <w:r w:rsidR="00C20400" w:rsidRPr="00C20400">
        <w:rPr>
          <w:sz w:val="28"/>
          <w:szCs w:val="28"/>
        </w:rPr>
        <w:t xml:space="preserve">or that the nursing home is relocating to a new site </w:t>
      </w:r>
      <w:r w:rsidR="00C20400" w:rsidRPr="00C20400">
        <w:rPr>
          <w:sz w:val="28"/>
          <w:szCs w:val="28"/>
        </w:rPr>
        <w:lastRenderedPageBreak/>
        <w:t>and will meet all requirements through the use of temporary gener</w:t>
      </w:r>
      <w:r w:rsidR="00C20400">
        <w:rPr>
          <w:sz w:val="28"/>
          <w:szCs w:val="28"/>
        </w:rPr>
        <w:t xml:space="preserve">ators at the existing facility </w:t>
      </w:r>
      <w:r w:rsidR="00AF0BCB">
        <w:rPr>
          <w:sz w:val="28"/>
          <w:szCs w:val="28"/>
        </w:rPr>
        <w:t>at the discretion of the Director of Safety and Permits</w:t>
      </w:r>
      <w:r w:rsidR="00AF0BCB" w:rsidRPr="006F4126">
        <w:rPr>
          <w:sz w:val="28"/>
          <w:szCs w:val="28"/>
        </w:rPr>
        <w:t>.</w:t>
      </w:r>
    </w:p>
    <w:p w14:paraId="254891E9" w14:textId="0812C7DD" w:rsidR="00AF0BCB" w:rsidRPr="00C20400" w:rsidRDefault="005B766A" w:rsidP="00CC3825">
      <w:pPr>
        <w:pStyle w:val="ListParagraph"/>
        <w:numPr>
          <w:ilvl w:val="2"/>
          <w:numId w:val="3"/>
        </w:numPr>
        <w:spacing w:after="0" w:line="480" w:lineRule="auto"/>
        <w:jc w:val="both"/>
        <w:rPr>
          <w:sz w:val="28"/>
          <w:szCs w:val="28"/>
        </w:rPr>
      </w:pPr>
      <w:r w:rsidRPr="00C20400">
        <w:rPr>
          <w:sz w:val="28"/>
          <w:szCs w:val="28"/>
        </w:rPr>
        <w:t>A</w:t>
      </w:r>
      <w:r w:rsidRPr="00CC3825">
        <w:rPr>
          <w:sz w:val="28"/>
          <w:szCs w:val="28"/>
        </w:rPr>
        <w:t>fter May 31, 2020, no license will be given without the necessary generator and fuel source on site</w:t>
      </w:r>
      <w:r w:rsidR="00F2477C">
        <w:rPr>
          <w:sz w:val="28"/>
          <w:szCs w:val="28"/>
        </w:rPr>
        <w:t xml:space="preserve"> </w:t>
      </w:r>
      <w:r w:rsidR="00F2477C" w:rsidRPr="00C20400">
        <w:rPr>
          <w:sz w:val="28"/>
          <w:szCs w:val="28"/>
        </w:rPr>
        <w:t>unless the facility has been approved to have temporary generators and fuel sources on site due to construction of new building</w:t>
      </w:r>
      <w:r w:rsidR="00AF0BCB" w:rsidRPr="00C20400">
        <w:rPr>
          <w:sz w:val="28"/>
          <w:szCs w:val="28"/>
        </w:rPr>
        <w:t xml:space="preserve">. </w:t>
      </w:r>
    </w:p>
    <w:p w14:paraId="683E3E0B" w14:textId="2319FB00" w:rsidR="005B766A" w:rsidRPr="00CC3825" w:rsidRDefault="009F5047" w:rsidP="00CC3825">
      <w:pPr>
        <w:pStyle w:val="ListParagraph"/>
        <w:numPr>
          <w:ilvl w:val="1"/>
          <w:numId w:val="3"/>
        </w:numPr>
        <w:spacing w:after="0" w:line="480" w:lineRule="auto"/>
        <w:jc w:val="both"/>
        <w:rPr>
          <w:sz w:val="28"/>
          <w:szCs w:val="28"/>
        </w:rPr>
      </w:pPr>
      <w:r w:rsidRPr="00CC3825">
        <w:rPr>
          <w:sz w:val="28"/>
          <w:szCs w:val="28"/>
        </w:rPr>
        <w:t xml:space="preserve">Generator capacity shall be adequate to maintain ambient indoor air temperature of eighty-one (81) degrees Fahrenheit or less in the warmest weather and seventy-one (71) in the coldest weather in all patient areas for the duration of the ninety-six (96) hours backup period.  </w:t>
      </w:r>
    </w:p>
    <w:p w14:paraId="72AB86B8" w14:textId="135FF8BA" w:rsidR="009F5047" w:rsidRPr="00CC3825" w:rsidRDefault="009F5047" w:rsidP="00CC3825">
      <w:pPr>
        <w:pStyle w:val="ListParagraph"/>
        <w:numPr>
          <w:ilvl w:val="1"/>
          <w:numId w:val="3"/>
        </w:numPr>
        <w:spacing w:after="0" w:line="480" w:lineRule="auto"/>
        <w:jc w:val="both"/>
        <w:rPr>
          <w:sz w:val="28"/>
          <w:szCs w:val="28"/>
        </w:rPr>
      </w:pPr>
      <w:r w:rsidRPr="00CC3825">
        <w:rPr>
          <w:sz w:val="28"/>
          <w:szCs w:val="28"/>
        </w:rPr>
        <w:t xml:space="preserve">Pursuant to Section 30-1087(2c), all nursing homes must submit a quarterly testing report verifying functional condition and capacity of the required generator(s) </w:t>
      </w:r>
      <w:r w:rsidR="0016140F">
        <w:rPr>
          <w:sz w:val="28"/>
          <w:szCs w:val="28"/>
        </w:rPr>
        <w:t>in the format required by the Department of Safety and Permits.</w:t>
      </w:r>
      <w:r w:rsidRPr="00CC3825">
        <w:rPr>
          <w:sz w:val="28"/>
          <w:szCs w:val="28"/>
        </w:rPr>
        <w:t xml:space="preserve">  </w:t>
      </w:r>
    </w:p>
    <w:p w14:paraId="2144830B" w14:textId="5E54AC68" w:rsidR="006958A6" w:rsidRPr="006958A6" w:rsidRDefault="006958A6" w:rsidP="006958A6">
      <w:pPr>
        <w:pStyle w:val="ListParagraph"/>
        <w:numPr>
          <w:ilvl w:val="0"/>
          <w:numId w:val="3"/>
        </w:numPr>
        <w:spacing w:line="480" w:lineRule="auto"/>
        <w:rPr>
          <w:sz w:val="28"/>
          <w:szCs w:val="28"/>
        </w:rPr>
      </w:pPr>
      <w:r w:rsidRPr="006958A6">
        <w:rPr>
          <w:b/>
          <w:sz w:val="28"/>
          <w:szCs w:val="28"/>
        </w:rPr>
        <w:lastRenderedPageBreak/>
        <w:t xml:space="preserve">Enforcement. </w:t>
      </w:r>
      <w:r w:rsidRPr="006958A6">
        <w:rPr>
          <w:sz w:val="28"/>
          <w:szCs w:val="28"/>
        </w:rPr>
        <w:t xml:space="preserve">Enforcement, as set forth in Sec. 30-1090, shall occur in accordance with the provisions of Chapter 6 of the New Orleans Municipal Code (Sec. 6-1, </w:t>
      </w:r>
      <w:r w:rsidRPr="006958A6">
        <w:rPr>
          <w:i/>
          <w:iCs/>
          <w:sz w:val="28"/>
          <w:szCs w:val="28"/>
        </w:rPr>
        <w:t>et seq.</w:t>
      </w:r>
      <w:r w:rsidRPr="006958A6">
        <w:rPr>
          <w:sz w:val="28"/>
          <w:szCs w:val="28"/>
        </w:rPr>
        <w:t>).</w:t>
      </w:r>
    </w:p>
    <w:p w14:paraId="4048BABF" w14:textId="45EDE87C" w:rsidR="00E71DA4" w:rsidRPr="00CC3825" w:rsidRDefault="0073796C" w:rsidP="00CC3825">
      <w:pPr>
        <w:pStyle w:val="ListParagraph"/>
        <w:numPr>
          <w:ilvl w:val="0"/>
          <w:numId w:val="3"/>
        </w:numPr>
        <w:spacing w:after="0" w:line="480" w:lineRule="auto"/>
        <w:jc w:val="both"/>
        <w:rPr>
          <w:b/>
          <w:sz w:val="28"/>
          <w:szCs w:val="28"/>
        </w:rPr>
      </w:pPr>
      <w:r w:rsidRPr="00CC3825">
        <w:rPr>
          <w:b/>
          <w:sz w:val="28"/>
          <w:szCs w:val="28"/>
        </w:rPr>
        <w:t xml:space="preserve">Effective Date. </w:t>
      </w:r>
      <w:r w:rsidRPr="00CC3825">
        <w:rPr>
          <w:sz w:val="28"/>
          <w:szCs w:val="28"/>
        </w:rPr>
        <w:t>These regulations shall be effective on the 22</w:t>
      </w:r>
      <w:r w:rsidRPr="00CC3825">
        <w:rPr>
          <w:sz w:val="28"/>
          <w:szCs w:val="28"/>
          <w:vertAlign w:val="superscript"/>
        </w:rPr>
        <w:t>nd</w:t>
      </w:r>
      <w:r w:rsidRPr="00CC3825">
        <w:rPr>
          <w:sz w:val="28"/>
          <w:szCs w:val="28"/>
        </w:rPr>
        <w:t xml:space="preserve"> day following adoption by the New Orleans City Council, as required by Section 2-1000(g) of the City Code.</w:t>
      </w:r>
      <w:r w:rsidRPr="00CC3825">
        <w:rPr>
          <w:b/>
          <w:sz w:val="28"/>
          <w:szCs w:val="28"/>
        </w:rPr>
        <w:t xml:space="preserve"> </w:t>
      </w:r>
    </w:p>
    <w:p w14:paraId="1AA52656" w14:textId="77777777" w:rsidR="0073796C" w:rsidRPr="00EB3277" w:rsidRDefault="0073796C" w:rsidP="00B7378C">
      <w:pPr>
        <w:spacing w:after="0" w:line="480" w:lineRule="auto"/>
        <w:ind w:left="720" w:hanging="720"/>
        <w:jc w:val="both"/>
        <w:rPr>
          <w:sz w:val="28"/>
          <w:szCs w:val="28"/>
        </w:rPr>
      </w:pPr>
    </w:p>
    <w:sectPr w:rsidR="0073796C" w:rsidRPr="00EB3277">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BA085" w14:textId="77777777" w:rsidR="006C08F5" w:rsidRDefault="006C08F5" w:rsidP="00B7378C">
      <w:pPr>
        <w:spacing w:after="0" w:line="240" w:lineRule="auto"/>
      </w:pPr>
      <w:r>
        <w:separator/>
      </w:r>
    </w:p>
  </w:endnote>
  <w:endnote w:type="continuationSeparator" w:id="0">
    <w:p w14:paraId="16B527E5" w14:textId="77777777" w:rsidR="006C08F5" w:rsidRDefault="006C08F5" w:rsidP="00B7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555763"/>
      <w:docPartObj>
        <w:docPartGallery w:val="Page Numbers (Bottom of Page)"/>
        <w:docPartUnique/>
      </w:docPartObj>
    </w:sdtPr>
    <w:sdtEndPr>
      <w:rPr>
        <w:noProof/>
      </w:rPr>
    </w:sdtEndPr>
    <w:sdtContent>
      <w:p w14:paraId="5A205D31" w14:textId="77777777" w:rsidR="0066469B" w:rsidRDefault="0066469B">
        <w:pPr>
          <w:pStyle w:val="Footer"/>
          <w:jc w:val="center"/>
        </w:pPr>
      </w:p>
      <w:p w14:paraId="26A412E2" w14:textId="77777777" w:rsidR="0066469B" w:rsidRDefault="0066469B">
        <w:pPr>
          <w:pStyle w:val="Footer"/>
          <w:jc w:val="center"/>
        </w:pPr>
      </w:p>
      <w:p w14:paraId="7F751D72" w14:textId="77777777" w:rsidR="0066469B" w:rsidRDefault="0066469B">
        <w:pPr>
          <w:pStyle w:val="Footer"/>
          <w:jc w:val="center"/>
        </w:pPr>
      </w:p>
      <w:p w14:paraId="4AF7AB34" w14:textId="77777777" w:rsidR="0066469B" w:rsidRDefault="0066469B">
        <w:pPr>
          <w:pStyle w:val="Footer"/>
          <w:jc w:val="center"/>
        </w:pPr>
      </w:p>
      <w:p w14:paraId="1A6FCF6C" w14:textId="77777777" w:rsidR="0066469B" w:rsidRDefault="00D42551">
        <w:pPr>
          <w:pStyle w:val="Footer"/>
          <w:jc w:val="center"/>
          <w:rPr>
            <w:noProof/>
          </w:rPr>
        </w:pPr>
        <w:r>
          <w:fldChar w:fldCharType="begin"/>
        </w:r>
        <w:r>
          <w:instrText xml:space="preserve"> PAGE   \* MERGEFORMAT </w:instrText>
        </w:r>
        <w:r>
          <w:fldChar w:fldCharType="separate"/>
        </w:r>
        <w:r w:rsidR="00F93B0C">
          <w:rPr>
            <w:noProof/>
          </w:rPr>
          <w:t>2</w:t>
        </w:r>
        <w:r>
          <w:rPr>
            <w:noProof/>
          </w:rPr>
          <w:fldChar w:fldCharType="end"/>
        </w:r>
      </w:p>
      <w:p w14:paraId="4E751A6E" w14:textId="77777777" w:rsidR="00D42551" w:rsidRDefault="006C08F5">
        <w:pPr>
          <w:pStyle w:val="Footer"/>
          <w:jc w:val="center"/>
        </w:pPr>
      </w:p>
    </w:sdtContent>
  </w:sdt>
  <w:p w14:paraId="7D83D0A3" w14:textId="77777777" w:rsidR="00D42551" w:rsidRDefault="00D42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85402" w14:textId="77777777" w:rsidR="006C08F5" w:rsidRDefault="006C08F5" w:rsidP="00B7378C">
      <w:pPr>
        <w:spacing w:after="0" w:line="240" w:lineRule="auto"/>
      </w:pPr>
      <w:r>
        <w:separator/>
      </w:r>
    </w:p>
  </w:footnote>
  <w:footnote w:type="continuationSeparator" w:id="0">
    <w:p w14:paraId="0E7B3365" w14:textId="77777777" w:rsidR="006C08F5" w:rsidRDefault="006C08F5" w:rsidP="00B73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08908" w14:textId="77777777" w:rsidR="005D06B4" w:rsidRDefault="006C08F5">
    <w:pPr>
      <w:pStyle w:val="Header"/>
    </w:pPr>
    <w:r>
      <w:rPr>
        <w:noProof/>
      </w:rPr>
      <w:pict w14:anchorId="108F5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6128" o:spid="_x0000_s2050" type="#_x0000_t136" style="position:absolute;margin-left:0;margin-top:0;width:412.4pt;height:247.45pt;rotation:315;z-index:-25165516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D112" w14:textId="619136D7" w:rsidR="0066469B" w:rsidRDefault="00F93B0C" w:rsidP="00B7378C">
    <w:pPr>
      <w:pStyle w:val="Header"/>
      <w:jc w:val="right"/>
      <w:rPr>
        <w:sz w:val="16"/>
        <w:szCs w:val="16"/>
      </w:rPr>
    </w:pPr>
    <w:r>
      <w:rPr>
        <w:sz w:val="16"/>
        <w:szCs w:val="16"/>
      </w:rPr>
      <w:t>Final</w:t>
    </w:r>
  </w:p>
  <w:p w14:paraId="51DA4F54" w14:textId="77777777" w:rsidR="00FD0568" w:rsidRDefault="00FD0568" w:rsidP="00B7378C">
    <w:pPr>
      <w:pStyle w:val="Header"/>
      <w:jc w:val="right"/>
      <w:rPr>
        <w:sz w:val="16"/>
        <w:szCs w:val="16"/>
      </w:rPr>
    </w:pPr>
  </w:p>
  <w:p w14:paraId="405270E9" w14:textId="77777777" w:rsidR="0066469B" w:rsidRDefault="0066469B" w:rsidP="00B7378C">
    <w:pPr>
      <w:pStyle w:val="Header"/>
      <w:jc w:val="right"/>
      <w:rPr>
        <w:sz w:val="16"/>
        <w:szCs w:val="16"/>
      </w:rPr>
    </w:pPr>
  </w:p>
  <w:p w14:paraId="35C27E86" w14:textId="77777777" w:rsidR="0066469B" w:rsidRDefault="0066469B" w:rsidP="00B7378C">
    <w:pPr>
      <w:pStyle w:val="Header"/>
      <w:jc w:val="right"/>
      <w:rPr>
        <w:sz w:val="16"/>
        <w:szCs w:val="16"/>
      </w:rPr>
    </w:pPr>
  </w:p>
  <w:p w14:paraId="017CB965" w14:textId="77777777" w:rsidR="0066469B" w:rsidRPr="00B7378C" w:rsidRDefault="0066469B" w:rsidP="00B7378C">
    <w:pPr>
      <w:pStyle w:val="Header"/>
      <w:jc w:val="righ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694EF" w14:textId="77777777" w:rsidR="005D06B4" w:rsidRDefault="006C08F5">
    <w:pPr>
      <w:pStyle w:val="Header"/>
    </w:pPr>
    <w:r>
      <w:rPr>
        <w:noProof/>
      </w:rPr>
      <w:pict w14:anchorId="6519A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6127" o:spid="_x0000_s2049" type="#_x0000_t136" style="position:absolute;margin-left:0;margin-top:0;width:412.4pt;height:247.45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B4B1A"/>
    <w:multiLevelType w:val="hybridMultilevel"/>
    <w:tmpl w:val="21FE90D4"/>
    <w:lvl w:ilvl="0" w:tplc="861A047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628EF"/>
    <w:multiLevelType w:val="hybridMultilevel"/>
    <w:tmpl w:val="9E8CF560"/>
    <w:lvl w:ilvl="0" w:tplc="2B8C0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B1533"/>
    <w:multiLevelType w:val="hybridMultilevel"/>
    <w:tmpl w:val="42C84664"/>
    <w:lvl w:ilvl="0" w:tplc="DA94F448">
      <w:start w:val="1"/>
      <w:numFmt w:val="upperRoman"/>
      <w:lvlText w:val="%1."/>
      <w:lvlJc w:val="left"/>
      <w:pPr>
        <w:ind w:left="1080" w:hanging="720"/>
      </w:pPr>
      <w:rPr>
        <w:rFonts w:hint="default"/>
        <w:b/>
      </w:rPr>
    </w:lvl>
    <w:lvl w:ilvl="1" w:tplc="FF04051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F83211"/>
    <w:multiLevelType w:val="hybridMultilevel"/>
    <w:tmpl w:val="D7F2E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77"/>
    <w:rsid w:val="00024245"/>
    <w:rsid w:val="0002660E"/>
    <w:rsid w:val="00033F18"/>
    <w:rsid w:val="00040B47"/>
    <w:rsid w:val="000461E3"/>
    <w:rsid w:val="00050390"/>
    <w:rsid w:val="00056C7E"/>
    <w:rsid w:val="0009540B"/>
    <w:rsid w:val="000A7A3F"/>
    <w:rsid w:val="000E432E"/>
    <w:rsid w:val="00100A50"/>
    <w:rsid w:val="00124E52"/>
    <w:rsid w:val="00130BBF"/>
    <w:rsid w:val="00137461"/>
    <w:rsid w:val="0016140F"/>
    <w:rsid w:val="00163741"/>
    <w:rsid w:val="002055EB"/>
    <w:rsid w:val="0025439A"/>
    <w:rsid w:val="002626D6"/>
    <w:rsid w:val="00266D88"/>
    <w:rsid w:val="002F17DA"/>
    <w:rsid w:val="00317F6B"/>
    <w:rsid w:val="003977AD"/>
    <w:rsid w:val="003F3F67"/>
    <w:rsid w:val="003F7A0C"/>
    <w:rsid w:val="004167BC"/>
    <w:rsid w:val="004514A4"/>
    <w:rsid w:val="00465240"/>
    <w:rsid w:val="00465E2D"/>
    <w:rsid w:val="004A6E09"/>
    <w:rsid w:val="004D66B7"/>
    <w:rsid w:val="00517CE5"/>
    <w:rsid w:val="00527D14"/>
    <w:rsid w:val="00540993"/>
    <w:rsid w:val="00550BC2"/>
    <w:rsid w:val="00561BE7"/>
    <w:rsid w:val="005648C4"/>
    <w:rsid w:val="0056529D"/>
    <w:rsid w:val="005800FB"/>
    <w:rsid w:val="005A00B3"/>
    <w:rsid w:val="005B766A"/>
    <w:rsid w:val="005C60FF"/>
    <w:rsid w:val="005D06B4"/>
    <w:rsid w:val="005D4AF9"/>
    <w:rsid w:val="005D5D0F"/>
    <w:rsid w:val="005F3DC0"/>
    <w:rsid w:val="00603231"/>
    <w:rsid w:val="00612797"/>
    <w:rsid w:val="00635AC0"/>
    <w:rsid w:val="006370C0"/>
    <w:rsid w:val="00641FAD"/>
    <w:rsid w:val="006507FB"/>
    <w:rsid w:val="0066469B"/>
    <w:rsid w:val="00677F77"/>
    <w:rsid w:val="006958A6"/>
    <w:rsid w:val="006C08F5"/>
    <w:rsid w:val="006E199E"/>
    <w:rsid w:val="0073796C"/>
    <w:rsid w:val="00744EE3"/>
    <w:rsid w:val="00761272"/>
    <w:rsid w:val="00787A27"/>
    <w:rsid w:val="007C7B59"/>
    <w:rsid w:val="00807537"/>
    <w:rsid w:val="00825933"/>
    <w:rsid w:val="00847C79"/>
    <w:rsid w:val="008837A9"/>
    <w:rsid w:val="00884780"/>
    <w:rsid w:val="008E4E17"/>
    <w:rsid w:val="008F6BC5"/>
    <w:rsid w:val="00925CAC"/>
    <w:rsid w:val="00937617"/>
    <w:rsid w:val="00944C81"/>
    <w:rsid w:val="00955CDF"/>
    <w:rsid w:val="009A346B"/>
    <w:rsid w:val="009C1C93"/>
    <w:rsid w:val="009C2BFF"/>
    <w:rsid w:val="009C3B05"/>
    <w:rsid w:val="009F5047"/>
    <w:rsid w:val="00A17549"/>
    <w:rsid w:val="00A370DA"/>
    <w:rsid w:val="00A44453"/>
    <w:rsid w:val="00A60858"/>
    <w:rsid w:val="00A914DA"/>
    <w:rsid w:val="00AB4F3C"/>
    <w:rsid w:val="00AB78A4"/>
    <w:rsid w:val="00AE2E11"/>
    <w:rsid w:val="00AF0BCB"/>
    <w:rsid w:val="00B048E8"/>
    <w:rsid w:val="00B06609"/>
    <w:rsid w:val="00B57DF2"/>
    <w:rsid w:val="00B7378C"/>
    <w:rsid w:val="00BB506C"/>
    <w:rsid w:val="00BC6871"/>
    <w:rsid w:val="00BE0F58"/>
    <w:rsid w:val="00BF7DD1"/>
    <w:rsid w:val="00C20400"/>
    <w:rsid w:val="00C86ECA"/>
    <w:rsid w:val="00CC3825"/>
    <w:rsid w:val="00CE0758"/>
    <w:rsid w:val="00CE1C99"/>
    <w:rsid w:val="00CF069E"/>
    <w:rsid w:val="00D034D3"/>
    <w:rsid w:val="00D42551"/>
    <w:rsid w:val="00D61A37"/>
    <w:rsid w:val="00DC159E"/>
    <w:rsid w:val="00DC4B70"/>
    <w:rsid w:val="00DE09A0"/>
    <w:rsid w:val="00DE42D4"/>
    <w:rsid w:val="00E02639"/>
    <w:rsid w:val="00E50754"/>
    <w:rsid w:val="00E71DA4"/>
    <w:rsid w:val="00E746C3"/>
    <w:rsid w:val="00EB3277"/>
    <w:rsid w:val="00EB4D3E"/>
    <w:rsid w:val="00EF28E7"/>
    <w:rsid w:val="00F2477C"/>
    <w:rsid w:val="00F37259"/>
    <w:rsid w:val="00F93B0C"/>
    <w:rsid w:val="00FD0568"/>
    <w:rsid w:val="00F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297507F"/>
  <w15:docId w15:val="{2E4156DB-1004-4348-A14E-000A470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78C"/>
  </w:style>
  <w:style w:type="paragraph" w:styleId="Footer">
    <w:name w:val="footer"/>
    <w:basedOn w:val="Normal"/>
    <w:link w:val="FooterChar"/>
    <w:uiPriority w:val="99"/>
    <w:unhideWhenUsed/>
    <w:rsid w:val="00B73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8C"/>
  </w:style>
  <w:style w:type="paragraph" w:styleId="BalloonText">
    <w:name w:val="Balloon Text"/>
    <w:basedOn w:val="Normal"/>
    <w:link w:val="BalloonTextChar"/>
    <w:uiPriority w:val="99"/>
    <w:semiHidden/>
    <w:unhideWhenUsed/>
    <w:rsid w:val="00100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50"/>
    <w:rPr>
      <w:rFonts w:ascii="Tahoma" w:hAnsi="Tahoma" w:cs="Tahoma"/>
      <w:sz w:val="16"/>
      <w:szCs w:val="16"/>
    </w:rPr>
  </w:style>
  <w:style w:type="character" w:styleId="CommentReference">
    <w:name w:val="annotation reference"/>
    <w:basedOn w:val="DefaultParagraphFont"/>
    <w:uiPriority w:val="99"/>
    <w:semiHidden/>
    <w:unhideWhenUsed/>
    <w:rsid w:val="00B57DF2"/>
    <w:rPr>
      <w:sz w:val="16"/>
      <w:szCs w:val="16"/>
    </w:rPr>
  </w:style>
  <w:style w:type="paragraph" w:styleId="CommentText">
    <w:name w:val="annotation text"/>
    <w:basedOn w:val="Normal"/>
    <w:link w:val="CommentTextChar"/>
    <w:uiPriority w:val="99"/>
    <w:semiHidden/>
    <w:unhideWhenUsed/>
    <w:rsid w:val="00B57DF2"/>
    <w:pPr>
      <w:spacing w:line="240" w:lineRule="auto"/>
    </w:pPr>
    <w:rPr>
      <w:sz w:val="20"/>
      <w:szCs w:val="20"/>
    </w:rPr>
  </w:style>
  <w:style w:type="character" w:customStyle="1" w:styleId="CommentTextChar">
    <w:name w:val="Comment Text Char"/>
    <w:basedOn w:val="DefaultParagraphFont"/>
    <w:link w:val="CommentText"/>
    <w:uiPriority w:val="99"/>
    <w:semiHidden/>
    <w:rsid w:val="00B57DF2"/>
    <w:rPr>
      <w:sz w:val="20"/>
      <w:szCs w:val="20"/>
    </w:rPr>
  </w:style>
  <w:style w:type="paragraph" w:styleId="CommentSubject">
    <w:name w:val="annotation subject"/>
    <w:basedOn w:val="CommentText"/>
    <w:next w:val="CommentText"/>
    <w:link w:val="CommentSubjectChar"/>
    <w:uiPriority w:val="99"/>
    <w:semiHidden/>
    <w:unhideWhenUsed/>
    <w:rsid w:val="00B57DF2"/>
    <w:rPr>
      <w:b/>
      <w:bCs/>
    </w:rPr>
  </w:style>
  <w:style w:type="character" w:customStyle="1" w:styleId="CommentSubjectChar">
    <w:name w:val="Comment Subject Char"/>
    <w:basedOn w:val="CommentTextChar"/>
    <w:link w:val="CommentSubject"/>
    <w:uiPriority w:val="99"/>
    <w:semiHidden/>
    <w:rsid w:val="00B57DF2"/>
    <w:rPr>
      <w:b/>
      <w:bCs/>
      <w:sz w:val="20"/>
      <w:szCs w:val="20"/>
    </w:rPr>
  </w:style>
  <w:style w:type="paragraph" w:styleId="ListParagraph">
    <w:name w:val="List Paragraph"/>
    <w:basedOn w:val="Normal"/>
    <w:uiPriority w:val="34"/>
    <w:qFormat/>
    <w:rsid w:val="006E199E"/>
    <w:pPr>
      <w:ind w:left="720"/>
      <w:contextualSpacing/>
    </w:pPr>
  </w:style>
  <w:style w:type="character" w:styleId="Hyperlink">
    <w:name w:val="Hyperlink"/>
    <w:basedOn w:val="DefaultParagraphFont"/>
    <w:uiPriority w:val="99"/>
    <w:unhideWhenUsed/>
    <w:rsid w:val="006E1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D907D-5561-48A2-93FB-73C04898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New Orleans</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A. Perez</dc:creator>
  <cp:lastModifiedBy>Sarah A. Babcock</cp:lastModifiedBy>
  <cp:revision>2</cp:revision>
  <cp:lastPrinted>2019-08-26T17:12:00Z</cp:lastPrinted>
  <dcterms:created xsi:type="dcterms:W3CDTF">2019-08-26T17:12:00Z</dcterms:created>
  <dcterms:modified xsi:type="dcterms:W3CDTF">2019-08-26T17:12:00Z</dcterms:modified>
</cp:coreProperties>
</file>